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91" w:rsidRDefault="002C3591" w:rsidP="002C3591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-6985</wp:posOffset>
            </wp:positionV>
            <wp:extent cx="608330" cy="771525"/>
            <wp:effectExtent l="19050" t="0" r="127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591" w:rsidRPr="009B143A" w:rsidRDefault="002C3591" w:rsidP="002C359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2C3591" w:rsidRPr="009B143A" w:rsidRDefault="002C3591" w:rsidP="002C359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2C3591" w:rsidRPr="009B143A" w:rsidRDefault="002C3591" w:rsidP="002C359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2C3591" w:rsidRDefault="00741832" w:rsidP="002C3591">
      <w:pPr>
        <w:jc w:val="center"/>
        <w:rPr>
          <w:b/>
        </w:rPr>
      </w:pPr>
      <w:r w:rsidRPr="00741832">
        <w:rPr>
          <w:noProof/>
        </w:rPr>
        <w:pict>
          <v:line id="_x0000_s1028" style="position:absolute;left:0;text-align:left;flip:y;z-index:25166233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C2A57" w:rsidRDefault="00BC2A57" w:rsidP="00BC2A57">
      <w:pPr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Р Е Ш Е Н И Е</w:t>
      </w:r>
    </w:p>
    <w:p w:rsidR="00412776" w:rsidRDefault="00412776" w:rsidP="00BC2A57">
      <w:pPr>
        <w:jc w:val="center"/>
        <w:rPr>
          <w:b/>
          <w:spacing w:val="20"/>
          <w:sz w:val="40"/>
        </w:rPr>
      </w:pPr>
    </w:p>
    <w:p w:rsidR="00713DAF" w:rsidRDefault="00713DAF" w:rsidP="00713DAF">
      <w:pPr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от 29.09.</w:t>
      </w:r>
      <w:r>
        <w:rPr>
          <w:b/>
          <w:bCs/>
          <w:sz w:val="28"/>
          <w:szCs w:val="28"/>
        </w:rPr>
        <w:t>2017г. № 136</w:t>
      </w:r>
    </w:p>
    <w:p w:rsidR="00713DAF" w:rsidRDefault="00713DAF" w:rsidP="00713DAF">
      <w:pPr>
        <w:jc w:val="center"/>
        <w:rPr>
          <w:b/>
          <w:bCs/>
          <w:sz w:val="28"/>
          <w:szCs w:val="28"/>
        </w:rPr>
      </w:pPr>
    </w:p>
    <w:p w:rsidR="00713DAF" w:rsidRDefault="00713DAF" w:rsidP="00713DA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7C3E9C" w:rsidTr="00117745">
        <w:tc>
          <w:tcPr>
            <w:tcW w:w="6345" w:type="dxa"/>
          </w:tcPr>
          <w:p w:rsidR="007C3E9C" w:rsidRDefault="007C3E9C" w:rsidP="007C3E9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в «Положение о </w:t>
            </w:r>
            <w:r>
              <w:rPr>
                <w:b/>
                <w:color w:val="000000"/>
                <w:sz w:val="28"/>
              </w:rPr>
              <w:t>коми</w:t>
            </w:r>
            <w:r>
              <w:rPr>
                <w:b/>
                <w:color w:val="000000"/>
                <w:sz w:val="28"/>
              </w:rPr>
              <w:t>с</w:t>
            </w:r>
            <w:r>
              <w:rPr>
                <w:b/>
                <w:color w:val="000000"/>
                <w:sz w:val="28"/>
              </w:rPr>
              <w:t>сии по вопросам распоряжения муниципал</w:t>
            </w:r>
            <w:r>
              <w:rPr>
                <w:b/>
                <w:color w:val="000000"/>
                <w:sz w:val="28"/>
              </w:rPr>
              <w:t>ь</w:t>
            </w:r>
            <w:r>
              <w:rPr>
                <w:b/>
                <w:color w:val="000000"/>
                <w:sz w:val="28"/>
              </w:rPr>
              <w:t>ным имуществом муниципального образования Сосновоборский городской округ»</w:t>
            </w:r>
          </w:p>
        </w:tc>
      </w:tr>
    </w:tbl>
    <w:p w:rsidR="007C3E9C" w:rsidRDefault="007C3E9C" w:rsidP="007C3E9C">
      <w:pPr>
        <w:jc w:val="center"/>
        <w:rPr>
          <w:sz w:val="24"/>
        </w:rPr>
      </w:pPr>
    </w:p>
    <w:p w:rsidR="007C3E9C" w:rsidRDefault="007C3E9C" w:rsidP="007C3E9C">
      <w:pPr>
        <w:jc w:val="center"/>
        <w:rPr>
          <w:sz w:val="24"/>
        </w:rPr>
      </w:pPr>
    </w:p>
    <w:p w:rsidR="00BC2A57" w:rsidRDefault="00BC2A57" w:rsidP="00BC2A57">
      <w:pPr>
        <w:jc w:val="center"/>
        <w:rPr>
          <w:sz w:val="24"/>
        </w:rPr>
      </w:pPr>
    </w:p>
    <w:p w:rsidR="00BC2A57" w:rsidRDefault="00BC2A57" w:rsidP="00BC2A57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основании подпункта 28 пункта 2 статьи 27 Устава муниципального обр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зования Сосновоборский городской округ и пункта 8.2 «Положения о порядке упра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ления и распоряжения муниципальной собственностью муниципального образов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ния Сосновоборский городской округ Ленинградской области», утвержденного реш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нием Собрания представителей от 18.09.01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</w:rPr>
        <w:t>96</w:t>
      </w:r>
      <w:r w:rsidR="00412776">
        <w:rPr>
          <w:rFonts w:ascii="Arial" w:hAnsi="Arial"/>
          <w:sz w:val="24"/>
        </w:rPr>
        <w:t xml:space="preserve"> и в целях приведения нормативных правовых актов представительного органа в соответствие законодательству Росси</w:t>
      </w:r>
      <w:r w:rsidR="00412776">
        <w:rPr>
          <w:rFonts w:ascii="Arial" w:hAnsi="Arial"/>
          <w:sz w:val="24"/>
        </w:rPr>
        <w:t>й</w:t>
      </w:r>
      <w:r w:rsidR="00412776">
        <w:rPr>
          <w:rFonts w:ascii="Arial" w:hAnsi="Arial"/>
          <w:sz w:val="24"/>
        </w:rPr>
        <w:t>ской Федерации</w:t>
      </w:r>
      <w:r>
        <w:rPr>
          <w:rFonts w:ascii="Arial" w:hAnsi="Arial"/>
          <w:sz w:val="24"/>
        </w:rPr>
        <w:t xml:space="preserve">, </w:t>
      </w:r>
      <w:r w:rsidR="002C3591"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овет депутатов Сосновоборско</w:t>
      </w:r>
      <w:r w:rsidR="002C3591">
        <w:rPr>
          <w:rFonts w:ascii="Arial" w:hAnsi="Arial"/>
          <w:sz w:val="24"/>
        </w:rPr>
        <w:t>го городского округа</w:t>
      </w:r>
    </w:p>
    <w:p w:rsidR="00BC2A57" w:rsidRDefault="00BC2A57" w:rsidP="00BC2A57">
      <w:pPr>
        <w:jc w:val="center"/>
        <w:rPr>
          <w:rFonts w:ascii="Arial" w:hAnsi="Arial"/>
          <w:sz w:val="24"/>
        </w:rPr>
      </w:pPr>
    </w:p>
    <w:p w:rsidR="00BC2A57" w:rsidRDefault="00BC2A57" w:rsidP="00BC2A5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 Е Ш И Л:</w:t>
      </w:r>
    </w:p>
    <w:p w:rsidR="00BC2A57" w:rsidRDefault="00BC2A57" w:rsidP="00BC2A57">
      <w:pPr>
        <w:jc w:val="center"/>
        <w:rPr>
          <w:rFonts w:ascii="Arial" w:hAnsi="Arial"/>
          <w:sz w:val="24"/>
        </w:rPr>
      </w:pPr>
    </w:p>
    <w:p w:rsidR="00BC2A57" w:rsidRDefault="00BC2A57" w:rsidP="00BC2A57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="002C3591">
        <w:rPr>
          <w:rFonts w:ascii="Arial" w:hAnsi="Arial"/>
          <w:sz w:val="24"/>
        </w:rPr>
        <w:t xml:space="preserve">Внести изменения в </w:t>
      </w:r>
      <w:r>
        <w:rPr>
          <w:rFonts w:ascii="Arial" w:hAnsi="Arial"/>
          <w:sz w:val="24"/>
        </w:rPr>
        <w:t>«Положение о комиссии по вопросам распоряжения муниципальным имуществом муниципального образования Сосновоборский горо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ской округ</w:t>
      </w:r>
      <w:r w:rsidR="002C3591">
        <w:rPr>
          <w:rFonts w:ascii="Arial" w:hAnsi="Arial"/>
          <w:sz w:val="24"/>
        </w:rPr>
        <w:t>», утвержденное решением Собрания представителей N65 от 24 мая 2004 года (с учетом изменений на 19</w:t>
      </w:r>
      <w:r>
        <w:rPr>
          <w:rFonts w:ascii="Arial" w:hAnsi="Arial"/>
          <w:sz w:val="24"/>
        </w:rPr>
        <w:t xml:space="preserve"> </w:t>
      </w:r>
      <w:r w:rsidR="002C3591">
        <w:rPr>
          <w:rFonts w:ascii="Arial" w:hAnsi="Arial"/>
          <w:sz w:val="24"/>
        </w:rPr>
        <w:t>августа 2010 года), изложив пункт 4 Положения в н</w:t>
      </w:r>
      <w:r w:rsidR="002C3591">
        <w:rPr>
          <w:rFonts w:ascii="Arial" w:hAnsi="Arial"/>
          <w:sz w:val="24"/>
        </w:rPr>
        <w:t>о</w:t>
      </w:r>
      <w:r w:rsidR="002C3591">
        <w:rPr>
          <w:rFonts w:ascii="Arial" w:hAnsi="Arial"/>
          <w:sz w:val="24"/>
        </w:rPr>
        <w:t>вой редакции: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</w:t>
      </w:r>
      <w:r w:rsidRPr="00713DAF">
        <w:rPr>
          <w:rFonts w:ascii="Arial" w:hAnsi="Arial"/>
          <w:sz w:val="24"/>
        </w:rPr>
        <w:t>4. Рассмотрению на Комиссии подлежат следующие вопросы: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4.1. имущественное обеспечение решения социально-значимых задач;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4.2. изменение целевого назначения (разрешенного использования) объектов;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4.3. использование потенциально опасных объектов и объектов, ограниченно оборотоспособных, использование не по целевому назначению помещений против</w:t>
      </w:r>
      <w:r w:rsidRPr="00713DAF">
        <w:rPr>
          <w:rFonts w:ascii="Arial" w:hAnsi="Arial"/>
          <w:sz w:val="24"/>
        </w:rPr>
        <w:t>о</w:t>
      </w:r>
      <w:r w:rsidRPr="00713DAF">
        <w:rPr>
          <w:rFonts w:ascii="Arial" w:hAnsi="Arial"/>
          <w:sz w:val="24"/>
        </w:rPr>
        <w:t>радиационных укрытий и убежищ;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4.4. предоставление объектов недвижимого имущества на инвестиционных условиях;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4.5. выбор одного из альтернативных вариантов использования объектов н</w:t>
      </w:r>
      <w:r w:rsidRPr="00713DAF">
        <w:rPr>
          <w:rFonts w:ascii="Arial" w:hAnsi="Arial"/>
          <w:sz w:val="24"/>
        </w:rPr>
        <w:t>е</w:t>
      </w:r>
      <w:r w:rsidRPr="00713DAF">
        <w:rPr>
          <w:rFonts w:ascii="Arial" w:hAnsi="Arial"/>
          <w:sz w:val="24"/>
        </w:rPr>
        <w:t>движимости;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4.6. закрепление недвижимого имущества за муниципальными предприятиями и учреждениями на праве хозяйственного ведения или оперативного управления;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4.7. внесение в залог объектов недвижимого имущества;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lastRenderedPageBreak/>
        <w:t>4.8. внесения имущества в качестве вклада муниципального образования в уставный (складочный) капитал хозяйственных обществ (товариществ) и в качестве взноса в некоммерческие организации;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4.9. осуществления контроля за сохранностью муниципального имущества и использованием его по назначению;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4.10. отчуждение объектов недвижимого имущества;</w:t>
      </w:r>
    </w:p>
    <w:p w:rsidR="00713DAF" w:rsidRPr="00A139F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4.11.</w:t>
      </w:r>
      <w:r w:rsidRPr="00A139FF">
        <w:rPr>
          <w:rFonts w:ascii="Arial" w:hAnsi="Arial"/>
          <w:sz w:val="24"/>
        </w:rPr>
        <w:t xml:space="preserve"> приватизации муниципального имущества (кроме приватизации жили</w:t>
      </w:r>
      <w:r w:rsidRPr="00A139FF">
        <w:rPr>
          <w:rFonts w:ascii="Arial" w:hAnsi="Arial"/>
          <w:sz w:val="24"/>
        </w:rPr>
        <w:t>щ</w:t>
      </w:r>
      <w:r w:rsidRPr="00A139FF">
        <w:rPr>
          <w:rFonts w:ascii="Arial" w:hAnsi="Arial"/>
          <w:sz w:val="24"/>
        </w:rPr>
        <w:t>ного фонда в соответствии с законодательством</w:t>
      </w:r>
      <w:r>
        <w:rPr>
          <w:rFonts w:ascii="Arial" w:hAnsi="Arial"/>
          <w:sz w:val="24"/>
        </w:rPr>
        <w:t>);</w:t>
      </w:r>
    </w:p>
    <w:p w:rsidR="00713DAF" w:rsidRPr="00713DAF" w:rsidRDefault="00713DAF" w:rsidP="00713DAF">
      <w:pPr>
        <w:tabs>
          <w:tab w:val="left" w:pos="2464"/>
        </w:tabs>
        <w:ind w:firstLine="709"/>
        <w:jc w:val="both"/>
        <w:rPr>
          <w:rFonts w:ascii="Arial" w:hAnsi="Arial"/>
          <w:sz w:val="24"/>
        </w:rPr>
      </w:pPr>
      <w:r w:rsidRPr="00713DAF">
        <w:rPr>
          <w:rFonts w:ascii="Arial" w:hAnsi="Arial"/>
          <w:sz w:val="24"/>
        </w:rPr>
        <w:t>4.12. иные вопросы по распоряжению муниципальным имуществом, вынос</w:t>
      </w:r>
      <w:r w:rsidRPr="00713DAF">
        <w:rPr>
          <w:rFonts w:ascii="Arial" w:hAnsi="Arial"/>
          <w:sz w:val="24"/>
        </w:rPr>
        <w:t>и</w:t>
      </w:r>
      <w:r w:rsidRPr="00713DAF">
        <w:rPr>
          <w:rFonts w:ascii="Arial" w:hAnsi="Arial"/>
          <w:sz w:val="24"/>
        </w:rPr>
        <w:t>мые на рассмотрение Комиссии органами и должностными лицами местного сам</w:t>
      </w:r>
      <w:r w:rsidRPr="00713DAF">
        <w:rPr>
          <w:rFonts w:ascii="Arial" w:hAnsi="Arial"/>
          <w:sz w:val="24"/>
        </w:rPr>
        <w:t>о</w:t>
      </w:r>
      <w:r w:rsidRPr="00713DAF">
        <w:rPr>
          <w:rFonts w:ascii="Arial" w:hAnsi="Arial"/>
          <w:sz w:val="24"/>
        </w:rPr>
        <w:t>управления.»</w:t>
      </w:r>
    </w:p>
    <w:p w:rsidR="00713DAF" w:rsidRDefault="00713DAF" w:rsidP="002C3591">
      <w:pPr>
        <w:pStyle w:val="Heading"/>
        <w:ind w:firstLine="709"/>
        <w:jc w:val="both"/>
        <w:rPr>
          <w:b w:val="0"/>
          <w:color w:val="000000"/>
          <w:sz w:val="24"/>
        </w:rPr>
      </w:pPr>
    </w:p>
    <w:p w:rsidR="002C3591" w:rsidRDefault="002C3591" w:rsidP="002C3591">
      <w:pPr>
        <w:pStyle w:val="Heading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2. Настоящее решение вступает в силу со дня официального обнародования на сайте городской газеты «Маяк».</w:t>
      </w:r>
    </w:p>
    <w:p w:rsidR="002C3591" w:rsidRDefault="002C3591" w:rsidP="002C3591">
      <w:pPr>
        <w:pStyle w:val="Heading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Настоящее решение официально обнародовать на сайте городской газеты «Маяк».</w:t>
      </w:r>
    </w:p>
    <w:p w:rsidR="00BC2A57" w:rsidRDefault="00BC2A57" w:rsidP="00BC2A57">
      <w:pPr>
        <w:ind w:firstLine="709"/>
        <w:jc w:val="both"/>
        <w:rPr>
          <w:sz w:val="24"/>
        </w:rPr>
      </w:pPr>
    </w:p>
    <w:p w:rsidR="00BC2A57" w:rsidRDefault="00BC2A57" w:rsidP="00BC2A57">
      <w:pPr>
        <w:ind w:firstLine="709"/>
        <w:jc w:val="both"/>
        <w:rPr>
          <w:sz w:val="24"/>
        </w:rPr>
      </w:pPr>
    </w:p>
    <w:p w:rsidR="00BC2A57" w:rsidRDefault="00BC2A57" w:rsidP="00BC2A57">
      <w:pPr>
        <w:ind w:firstLine="709"/>
        <w:jc w:val="both"/>
        <w:rPr>
          <w:sz w:val="24"/>
        </w:rPr>
      </w:pPr>
    </w:p>
    <w:p w:rsidR="002C3591" w:rsidRDefault="002C3591" w:rsidP="002C3591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>Глава Сосновоборского</w:t>
      </w:r>
    </w:p>
    <w:p w:rsidR="002C3591" w:rsidRDefault="002C3591" w:rsidP="002C3591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    </w:t>
      </w:r>
      <w:r w:rsidR="002B332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D9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Иванов</w:t>
      </w:r>
    </w:p>
    <w:sectPr w:rsidR="002C3591" w:rsidSect="0090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BE" w:rsidRDefault="000542BE" w:rsidP="00C570D7">
      <w:r>
        <w:separator/>
      </w:r>
    </w:p>
  </w:endnote>
  <w:endnote w:type="continuationSeparator" w:id="1">
    <w:p w:rsidR="000542BE" w:rsidRDefault="000542BE" w:rsidP="00C5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7" w:rsidRDefault="00C570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7" w:rsidRDefault="00C570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7" w:rsidRDefault="00C570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BE" w:rsidRDefault="000542BE" w:rsidP="00C570D7">
      <w:r>
        <w:separator/>
      </w:r>
    </w:p>
  </w:footnote>
  <w:footnote w:type="continuationSeparator" w:id="1">
    <w:p w:rsidR="000542BE" w:rsidRDefault="000542BE" w:rsidP="00C5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7" w:rsidRDefault="00C570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7" w:rsidRDefault="00C570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7" w:rsidRDefault="00C570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6d87c88-c3a1-4bd0-bdfe-5968cef05011"/>
  </w:docVars>
  <w:rsids>
    <w:rsidRoot w:val="00BC2A57"/>
    <w:rsid w:val="000327C9"/>
    <w:rsid w:val="000542BE"/>
    <w:rsid w:val="0025355E"/>
    <w:rsid w:val="002A71A9"/>
    <w:rsid w:val="002B3324"/>
    <w:rsid w:val="002C3591"/>
    <w:rsid w:val="002E07BF"/>
    <w:rsid w:val="00412776"/>
    <w:rsid w:val="00493EA3"/>
    <w:rsid w:val="00567578"/>
    <w:rsid w:val="00713DAF"/>
    <w:rsid w:val="00741832"/>
    <w:rsid w:val="0079543A"/>
    <w:rsid w:val="007C3E9C"/>
    <w:rsid w:val="0092516E"/>
    <w:rsid w:val="00BC2A57"/>
    <w:rsid w:val="00C03768"/>
    <w:rsid w:val="00C570D7"/>
    <w:rsid w:val="00F5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C2A57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BC2A5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C2A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BC2A57"/>
    <w:pPr>
      <w:widowControl w:val="0"/>
      <w:ind w:left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412776"/>
    <w:pPr>
      <w:ind w:left="720"/>
      <w:contextualSpacing/>
    </w:pPr>
  </w:style>
  <w:style w:type="table" w:styleId="a6">
    <w:name w:val="Table Grid"/>
    <w:basedOn w:val="a1"/>
    <w:uiPriority w:val="59"/>
    <w:rsid w:val="00412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570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7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0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2017-10-11T08:06:00Z</dcterms:created>
  <dcterms:modified xsi:type="dcterms:W3CDTF">2017-10-11T08:06:00Z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86d87c88-c3a1-4bd0-bdfe-5968cef05011</vt:lpwstr>
  </property>
</Properties>
</file>