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9" w:rsidRDefault="00630EA9" w:rsidP="00630E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EA9" w:rsidRDefault="00630EA9" w:rsidP="00630EA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30EA9" w:rsidRDefault="00EF50FD" w:rsidP="00630EA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30EA9" w:rsidRDefault="00630EA9" w:rsidP="00630EA9">
      <w:pPr>
        <w:pStyle w:val="3"/>
      </w:pPr>
      <w:r>
        <w:t>постановление</w:t>
      </w:r>
    </w:p>
    <w:p w:rsidR="00630EA9" w:rsidRDefault="00630EA9" w:rsidP="00630EA9">
      <w:pPr>
        <w:jc w:val="center"/>
        <w:rPr>
          <w:sz w:val="24"/>
        </w:rPr>
      </w:pPr>
    </w:p>
    <w:p w:rsidR="00630EA9" w:rsidRDefault="00630EA9" w:rsidP="00630EA9">
      <w:pPr>
        <w:jc w:val="center"/>
        <w:rPr>
          <w:sz w:val="24"/>
        </w:rPr>
      </w:pPr>
      <w:r>
        <w:rPr>
          <w:sz w:val="24"/>
        </w:rPr>
        <w:t>от 12/01/2021 № 10</w:t>
      </w:r>
    </w:p>
    <w:p w:rsidR="00630EA9" w:rsidRPr="005B65E2" w:rsidRDefault="00630EA9" w:rsidP="00630EA9">
      <w:pPr>
        <w:ind w:right="310"/>
        <w:rPr>
          <w:sz w:val="10"/>
          <w:szCs w:val="10"/>
        </w:rPr>
      </w:pPr>
    </w:p>
    <w:p w:rsidR="00630EA9" w:rsidRDefault="00630EA9" w:rsidP="00630EA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30EA9" w:rsidRPr="00721409" w:rsidRDefault="00630EA9" w:rsidP="00630EA9">
      <w:pPr>
        <w:tabs>
          <w:tab w:val="left" w:pos="5387"/>
        </w:tabs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25.04.2019 № 942</w:t>
      </w:r>
    </w:p>
    <w:p w:rsidR="00630EA9" w:rsidRDefault="00630EA9" w:rsidP="00630EA9">
      <w:pPr>
        <w:jc w:val="both"/>
        <w:rPr>
          <w:sz w:val="24"/>
          <w:szCs w:val="24"/>
        </w:rPr>
      </w:pPr>
    </w:p>
    <w:p w:rsidR="00630EA9" w:rsidRDefault="00630EA9" w:rsidP="00630EA9">
      <w:pPr>
        <w:jc w:val="both"/>
        <w:rPr>
          <w:sz w:val="24"/>
          <w:szCs w:val="24"/>
        </w:rPr>
      </w:pPr>
    </w:p>
    <w:p w:rsidR="00630EA9" w:rsidRPr="00721409" w:rsidRDefault="00630EA9" w:rsidP="00630EA9">
      <w:pPr>
        <w:jc w:val="both"/>
        <w:rPr>
          <w:sz w:val="24"/>
          <w:szCs w:val="24"/>
        </w:rPr>
      </w:pPr>
    </w:p>
    <w:p w:rsidR="00630EA9" w:rsidRPr="00721409" w:rsidRDefault="00630EA9" w:rsidP="00630E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721409">
        <w:rPr>
          <w:rFonts w:eastAsia="Calibri"/>
          <w:sz w:val="24"/>
          <w:szCs w:val="24"/>
        </w:rPr>
        <w:t>В целях совершенствования системы поддержки малого и среднего предпринимательства в Сосновоборском городском округе (в части имущественной поддержки)</w:t>
      </w:r>
      <w:r>
        <w:rPr>
          <w:rFonts w:eastAsia="Calibri"/>
          <w:sz w:val="24"/>
          <w:szCs w:val="24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21409">
        <w:rPr>
          <w:rFonts w:eastAsia="Calibri"/>
          <w:sz w:val="24"/>
          <w:szCs w:val="24"/>
        </w:rPr>
        <w:t xml:space="preserve">, в соответствии с </w:t>
      </w:r>
      <w:r w:rsidRPr="00721409">
        <w:rPr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 xml:space="preserve"> (с изменениями, </w:t>
      </w:r>
      <w:r>
        <w:rPr>
          <w:rFonts w:eastAsia="Calibri"/>
          <w:sz w:val="24"/>
          <w:szCs w:val="24"/>
        </w:rPr>
        <w:t xml:space="preserve"> внесенными Федеральными законами </w:t>
      </w:r>
      <w:r w:rsidRPr="004C6210">
        <w:rPr>
          <w:rFonts w:eastAsia="Calibri"/>
          <w:sz w:val="24"/>
          <w:szCs w:val="24"/>
        </w:rPr>
        <w:t xml:space="preserve">от 08.06.2020 </w:t>
      </w:r>
      <w:hyperlink r:id="rId8" w:history="1">
        <w:r>
          <w:rPr>
            <w:rFonts w:eastAsia="Calibri"/>
            <w:sz w:val="24"/>
            <w:szCs w:val="24"/>
          </w:rPr>
          <w:t>№</w:t>
        </w:r>
        <w:r w:rsidRPr="004C6210">
          <w:rPr>
            <w:rFonts w:eastAsia="Calibri"/>
            <w:sz w:val="24"/>
            <w:szCs w:val="24"/>
          </w:rPr>
          <w:t xml:space="preserve"> 166-ФЗ</w:t>
        </w:r>
      </w:hyperlink>
      <w:r w:rsidRPr="004C6210">
        <w:rPr>
          <w:rFonts w:eastAsia="Calibri"/>
          <w:sz w:val="24"/>
          <w:szCs w:val="24"/>
        </w:rPr>
        <w:t xml:space="preserve">, </w:t>
      </w:r>
      <w:hyperlink r:id="rId9" w:history="1">
        <w:r>
          <w:rPr>
            <w:rFonts w:eastAsia="Calibri"/>
            <w:sz w:val="24"/>
            <w:szCs w:val="24"/>
          </w:rPr>
          <w:t>№</w:t>
        </w:r>
        <w:r w:rsidRPr="004C6210">
          <w:rPr>
            <w:rFonts w:eastAsia="Calibri"/>
            <w:sz w:val="24"/>
            <w:szCs w:val="24"/>
          </w:rPr>
          <w:t xml:space="preserve"> 169-ФЗ</w:t>
        </w:r>
      </w:hyperlink>
      <w:r w:rsidRPr="004C6210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</w:t>
      </w:r>
      <w:r w:rsidRPr="00721409">
        <w:rPr>
          <w:sz w:val="24"/>
          <w:szCs w:val="24"/>
        </w:rPr>
        <w:t>администрация</w:t>
      </w:r>
      <w:proofErr w:type="gramEnd"/>
      <w:r w:rsidRPr="00721409">
        <w:rPr>
          <w:sz w:val="24"/>
          <w:szCs w:val="24"/>
        </w:rPr>
        <w:t xml:space="preserve"> </w:t>
      </w:r>
      <w:proofErr w:type="spellStart"/>
      <w:r w:rsidRPr="00721409">
        <w:rPr>
          <w:sz w:val="24"/>
          <w:szCs w:val="24"/>
        </w:rPr>
        <w:t>Сосновоборского</w:t>
      </w:r>
      <w:proofErr w:type="spellEnd"/>
      <w:r w:rsidRPr="00721409">
        <w:rPr>
          <w:sz w:val="24"/>
          <w:szCs w:val="24"/>
        </w:rPr>
        <w:t xml:space="preserve"> городского округа </w:t>
      </w:r>
      <w:proofErr w:type="gramStart"/>
      <w:r w:rsidRPr="00721409">
        <w:rPr>
          <w:b/>
          <w:bCs/>
          <w:sz w:val="24"/>
          <w:szCs w:val="24"/>
        </w:rPr>
        <w:t>п</w:t>
      </w:r>
      <w:proofErr w:type="gramEnd"/>
      <w:r w:rsidRPr="00721409">
        <w:rPr>
          <w:b/>
          <w:bCs/>
          <w:sz w:val="24"/>
          <w:szCs w:val="24"/>
        </w:rPr>
        <w:t xml:space="preserve"> о с т а н о в л я е т</w:t>
      </w:r>
      <w:r w:rsidRPr="00721409">
        <w:rPr>
          <w:bCs/>
          <w:sz w:val="24"/>
          <w:szCs w:val="24"/>
        </w:rPr>
        <w:t>:</w:t>
      </w:r>
    </w:p>
    <w:p w:rsidR="00630EA9" w:rsidRPr="00721409" w:rsidRDefault="00630EA9" w:rsidP="00630EA9">
      <w:pPr>
        <w:ind w:firstLine="709"/>
        <w:jc w:val="both"/>
        <w:rPr>
          <w:b/>
          <w:bCs/>
          <w:sz w:val="24"/>
          <w:szCs w:val="24"/>
        </w:rPr>
      </w:pPr>
    </w:p>
    <w:p w:rsidR="00630EA9" w:rsidRDefault="00630EA9" w:rsidP="00630EA9">
      <w:pPr>
        <w:ind w:firstLine="709"/>
        <w:jc w:val="both"/>
        <w:rPr>
          <w:rFonts w:eastAsia="Calibri"/>
          <w:sz w:val="24"/>
          <w:szCs w:val="24"/>
        </w:rPr>
      </w:pPr>
      <w:r w:rsidRPr="00721409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25.04.2019 № 942</w:t>
      </w:r>
      <w:r>
        <w:rPr>
          <w:sz w:val="24"/>
        </w:rPr>
        <w:t xml:space="preserve"> «</w:t>
      </w:r>
      <w:r w:rsidRPr="00721409">
        <w:rPr>
          <w:sz w:val="24"/>
          <w:szCs w:val="24"/>
        </w:rPr>
        <w:t xml:space="preserve">О порядке формирования, ведения, обязательного опубликования перечня имущества муниципального образования </w:t>
      </w:r>
      <w:proofErr w:type="spellStart"/>
      <w:r w:rsidRPr="00721409">
        <w:rPr>
          <w:sz w:val="24"/>
          <w:szCs w:val="24"/>
        </w:rPr>
        <w:t>Сосновоборский</w:t>
      </w:r>
      <w:proofErr w:type="spellEnd"/>
      <w:r w:rsidRPr="00721409">
        <w:rPr>
          <w:sz w:val="24"/>
          <w:szCs w:val="24"/>
        </w:rPr>
        <w:t xml:space="preserve"> городской округ Ленинградской области, </w:t>
      </w:r>
      <w:r w:rsidRPr="00721409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порядке и условиях предоставления имущества, включенного в указанный перечень</w:t>
      </w:r>
      <w:r>
        <w:rPr>
          <w:rFonts w:eastAsia="Calibri"/>
          <w:sz w:val="24"/>
          <w:szCs w:val="24"/>
        </w:rPr>
        <w:t>»:</w:t>
      </w:r>
      <w:proofErr w:type="gramEnd"/>
    </w:p>
    <w:p w:rsidR="00630EA9" w:rsidRDefault="00630EA9" w:rsidP="00630EA9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1.1. Пункт 1 </w:t>
      </w:r>
      <w:r w:rsidRPr="00A56A08">
        <w:rPr>
          <w:sz w:val="24"/>
          <w:szCs w:val="24"/>
        </w:rPr>
        <w:t xml:space="preserve">Порядка формирования, ведения, обязательного опубликования перечня имущества муниципального образования </w:t>
      </w:r>
      <w:proofErr w:type="spellStart"/>
      <w:r w:rsidRPr="00A56A08">
        <w:rPr>
          <w:sz w:val="24"/>
          <w:szCs w:val="24"/>
        </w:rPr>
        <w:t>Сосновоборский</w:t>
      </w:r>
      <w:proofErr w:type="spellEnd"/>
      <w:r w:rsidRPr="00A56A08">
        <w:rPr>
          <w:sz w:val="24"/>
          <w:szCs w:val="24"/>
        </w:rPr>
        <w:t xml:space="preserve"> городской округ Ленинградской области, </w:t>
      </w:r>
      <w:r w:rsidRPr="00A56A08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далее – Порядок формирования</w:t>
      </w:r>
      <w:r>
        <w:rPr>
          <w:rFonts w:eastAsia="Calibri"/>
          <w:sz w:val="24"/>
          <w:szCs w:val="24"/>
        </w:rPr>
        <w:t>, дополнить абзацем следующего содержания:</w:t>
      </w:r>
    </w:p>
    <w:p w:rsidR="00630EA9" w:rsidRDefault="00630EA9" w:rsidP="00630EA9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«Положения настоящего Порядка распространяется также на объекты, предоставляемые физическим лицам, не являющимся индивидуальными предпринимателями и применяющими специальный налоговый режим «Налог на профессиональный доход», за исключением подпункта 1 пункта 17 Порядка</w:t>
      </w:r>
      <w:proofErr w:type="gramStart"/>
      <w:r>
        <w:rPr>
          <w:rFonts w:eastAsia="Calibri"/>
          <w:sz w:val="24"/>
          <w:szCs w:val="24"/>
        </w:rPr>
        <w:t>.».</w:t>
      </w:r>
      <w:proofErr w:type="gramEnd"/>
    </w:p>
    <w:p w:rsidR="00630EA9" w:rsidRDefault="00630EA9" w:rsidP="00630EA9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</w:t>
      </w:r>
      <w:hyperlink r:id="rId10" w:history="1">
        <w:r w:rsidRPr="00B04E2A">
          <w:rPr>
            <w:rFonts w:eastAsia="Calibri"/>
            <w:sz w:val="24"/>
            <w:szCs w:val="24"/>
          </w:rPr>
          <w:t xml:space="preserve">Порядок и </w:t>
        </w:r>
        <w:proofErr w:type="gramStart"/>
        <w:r w:rsidRPr="00B04E2A">
          <w:rPr>
            <w:rFonts w:eastAsia="Calibri"/>
            <w:sz w:val="24"/>
            <w:szCs w:val="24"/>
          </w:rPr>
          <w:t>услови</w:t>
        </w:r>
      </w:hyperlink>
      <w:r w:rsidRPr="00B04E2A">
        <w:rPr>
          <w:sz w:val="24"/>
          <w:szCs w:val="24"/>
        </w:rPr>
        <w:t>я</w:t>
      </w:r>
      <w:proofErr w:type="gramEnd"/>
      <w:r w:rsidRPr="00B04E2A">
        <w:rPr>
          <w:rFonts w:eastAsia="Calibri"/>
          <w:sz w:val="24"/>
          <w:szCs w:val="24"/>
        </w:rPr>
        <w:t xml:space="preserve"> предоставления в аренду имущества, включенного в </w:t>
      </w:r>
      <w:r>
        <w:rPr>
          <w:sz w:val="24"/>
          <w:szCs w:val="24"/>
        </w:rPr>
        <w:t>перечень имущества м</w:t>
      </w:r>
      <w:r w:rsidRPr="00B04E2A">
        <w:rPr>
          <w:sz w:val="24"/>
          <w:szCs w:val="24"/>
        </w:rPr>
        <w:t xml:space="preserve">униципального образования </w:t>
      </w:r>
      <w:proofErr w:type="spellStart"/>
      <w:r w:rsidRPr="00B04E2A">
        <w:rPr>
          <w:sz w:val="24"/>
          <w:szCs w:val="24"/>
        </w:rPr>
        <w:t>Сосновоборский</w:t>
      </w:r>
      <w:proofErr w:type="spellEnd"/>
      <w:r w:rsidRPr="00B04E2A">
        <w:rPr>
          <w:sz w:val="24"/>
          <w:szCs w:val="24"/>
        </w:rPr>
        <w:t xml:space="preserve"> городской округ Ленинградской области, </w:t>
      </w:r>
      <w:r w:rsidRPr="00B04E2A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eastAsia="Calibri"/>
          <w:sz w:val="24"/>
          <w:szCs w:val="24"/>
        </w:rPr>
        <w:t xml:space="preserve"> дополнить пунктом 15 следующего содержания:</w:t>
      </w:r>
    </w:p>
    <w:p w:rsidR="00630EA9" w:rsidRPr="00B04E2A" w:rsidRDefault="00630EA9" w:rsidP="00630EA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«15. Положения настоящего Порядка распространяется на предоставление объектов физическим лицам, не являющимся индивидуальными предпринимателями и </w:t>
      </w:r>
      <w:r>
        <w:rPr>
          <w:rFonts w:eastAsia="Calibri"/>
          <w:sz w:val="24"/>
          <w:szCs w:val="24"/>
        </w:rPr>
        <w:lastRenderedPageBreak/>
        <w:t>применяющими специальный налоговый режим «Налог на профессиональный доход», за исключением пункта 14 Порядка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</w:p>
    <w:p w:rsidR="00630EA9" w:rsidRPr="00721409" w:rsidRDefault="00630EA9" w:rsidP="00630EA9">
      <w:pPr>
        <w:tabs>
          <w:tab w:val="left" w:pos="9922"/>
        </w:tabs>
        <w:ind w:firstLine="709"/>
        <w:jc w:val="both"/>
        <w:rPr>
          <w:sz w:val="24"/>
          <w:szCs w:val="24"/>
        </w:rPr>
      </w:pPr>
    </w:p>
    <w:p w:rsidR="00630EA9" w:rsidRPr="00721409" w:rsidRDefault="00630EA9" w:rsidP="00630EA9">
      <w:pPr>
        <w:tabs>
          <w:tab w:val="left" w:pos="893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21409">
        <w:rPr>
          <w:sz w:val="24"/>
          <w:szCs w:val="24"/>
        </w:rPr>
        <w:t>. Общему отделу администрации</w:t>
      </w:r>
      <w:r>
        <w:rPr>
          <w:sz w:val="24"/>
          <w:szCs w:val="24"/>
        </w:rPr>
        <w:t xml:space="preserve"> (Смолкина М.С.)</w:t>
      </w:r>
      <w:r w:rsidRPr="00721409">
        <w:rPr>
          <w:sz w:val="24"/>
          <w:szCs w:val="24"/>
        </w:rPr>
        <w:t>:</w:t>
      </w:r>
    </w:p>
    <w:p w:rsidR="00630EA9" w:rsidRPr="00721409" w:rsidRDefault="00630EA9" w:rsidP="00630EA9">
      <w:pPr>
        <w:tabs>
          <w:tab w:val="left" w:pos="893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Pr="00721409">
        <w:rPr>
          <w:color w:val="000000"/>
          <w:sz w:val="24"/>
          <w:szCs w:val="24"/>
        </w:rPr>
        <w:t xml:space="preserve"> опубликовать информацию о принятии настоящего постановления в городской газете «Маяк»;</w:t>
      </w:r>
    </w:p>
    <w:p w:rsidR="00630EA9" w:rsidRDefault="00630EA9" w:rsidP="00630EA9">
      <w:pPr>
        <w:tabs>
          <w:tab w:val="left" w:pos="893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 w:rsidRPr="00721409">
        <w:rPr>
          <w:color w:val="000000"/>
          <w:sz w:val="24"/>
          <w:szCs w:val="24"/>
        </w:rPr>
        <w:t xml:space="preserve"> полностью обнародовать настоящее постановление на электронном сайте городской газеты «Маяк»</w:t>
      </w:r>
      <w:r w:rsidRPr="00721409">
        <w:rPr>
          <w:sz w:val="24"/>
          <w:szCs w:val="24"/>
        </w:rPr>
        <w:t>.</w:t>
      </w:r>
    </w:p>
    <w:p w:rsidR="00630EA9" w:rsidRPr="00721409" w:rsidRDefault="00630EA9" w:rsidP="00630EA9">
      <w:pPr>
        <w:tabs>
          <w:tab w:val="left" w:pos="8931"/>
        </w:tabs>
        <w:ind w:firstLine="709"/>
        <w:jc w:val="both"/>
        <w:rPr>
          <w:sz w:val="24"/>
          <w:szCs w:val="24"/>
        </w:rPr>
      </w:pPr>
    </w:p>
    <w:p w:rsidR="00630EA9" w:rsidRDefault="00630EA9" w:rsidP="00630EA9">
      <w:pPr>
        <w:tabs>
          <w:tab w:val="left" w:pos="8931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721409">
        <w:rPr>
          <w:sz w:val="24"/>
          <w:szCs w:val="24"/>
        </w:rPr>
        <w:t xml:space="preserve">. Отделу по связям с общественностью (пресс-центр) </w:t>
      </w:r>
      <w:r w:rsidRPr="00721409">
        <w:rPr>
          <w:color w:val="1F497D"/>
          <w:sz w:val="24"/>
          <w:szCs w:val="24"/>
        </w:rPr>
        <w:t>к</w:t>
      </w:r>
      <w:r w:rsidRPr="00721409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721409">
        <w:rPr>
          <w:sz w:val="24"/>
          <w:szCs w:val="24"/>
        </w:rPr>
        <w:t>разместить</w:t>
      </w:r>
      <w:proofErr w:type="gramEnd"/>
      <w:r w:rsidRPr="0072140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21409">
        <w:rPr>
          <w:sz w:val="24"/>
          <w:szCs w:val="24"/>
        </w:rPr>
        <w:t>Сосновоборского</w:t>
      </w:r>
      <w:proofErr w:type="spellEnd"/>
      <w:r w:rsidRPr="00721409">
        <w:rPr>
          <w:sz w:val="24"/>
          <w:szCs w:val="24"/>
        </w:rPr>
        <w:t xml:space="preserve"> городского округа</w:t>
      </w:r>
      <w:r w:rsidRPr="00721409">
        <w:rPr>
          <w:color w:val="000000"/>
          <w:sz w:val="24"/>
          <w:szCs w:val="24"/>
        </w:rPr>
        <w:t>.</w:t>
      </w:r>
    </w:p>
    <w:p w:rsidR="00630EA9" w:rsidRPr="00721409" w:rsidRDefault="00630EA9" w:rsidP="00630EA9">
      <w:pPr>
        <w:tabs>
          <w:tab w:val="left" w:pos="8931"/>
        </w:tabs>
        <w:ind w:firstLine="709"/>
        <w:jc w:val="both"/>
        <w:rPr>
          <w:color w:val="000000"/>
          <w:sz w:val="24"/>
          <w:szCs w:val="24"/>
        </w:rPr>
      </w:pPr>
    </w:p>
    <w:p w:rsidR="00630EA9" w:rsidRDefault="00630EA9" w:rsidP="00630EA9">
      <w:pPr>
        <w:pStyle w:val="1"/>
        <w:shd w:val="clear" w:color="auto" w:fill="auto"/>
        <w:tabs>
          <w:tab w:val="left" w:pos="0"/>
          <w:tab w:val="left" w:pos="1134"/>
          <w:tab w:val="left" w:pos="893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40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630EA9" w:rsidRPr="00721409" w:rsidRDefault="00630EA9" w:rsidP="00630EA9">
      <w:pPr>
        <w:pStyle w:val="1"/>
        <w:shd w:val="clear" w:color="auto" w:fill="auto"/>
        <w:tabs>
          <w:tab w:val="left" w:pos="0"/>
          <w:tab w:val="left" w:pos="1134"/>
          <w:tab w:val="left" w:pos="893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0EA9" w:rsidRPr="00721409" w:rsidRDefault="00630EA9" w:rsidP="00630EA9">
      <w:pPr>
        <w:tabs>
          <w:tab w:val="left" w:pos="8931"/>
        </w:tabs>
        <w:ind w:firstLine="709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5</w:t>
      </w:r>
      <w:r w:rsidRPr="00721409">
        <w:rPr>
          <w:sz w:val="24"/>
          <w:szCs w:val="24"/>
        </w:rPr>
        <w:t xml:space="preserve">. </w:t>
      </w:r>
      <w:proofErr w:type="gramStart"/>
      <w:r w:rsidRPr="00721409">
        <w:rPr>
          <w:sz w:val="24"/>
          <w:szCs w:val="24"/>
        </w:rPr>
        <w:t>Контроль за</w:t>
      </w:r>
      <w:proofErr w:type="gramEnd"/>
      <w:r w:rsidRPr="00721409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Pr="00251DA6">
        <w:rPr>
          <w:sz w:val="24"/>
          <w:szCs w:val="24"/>
        </w:rPr>
        <w:t>Сосновоборского</w:t>
      </w:r>
      <w:proofErr w:type="spellEnd"/>
      <w:r w:rsidRPr="00251DA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Лютикова С.Г.</w:t>
      </w:r>
    </w:p>
    <w:p w:rsidR="00630EA9" w:rsidRDefault="00630EA9" w:rsidP="00630EA9">
      <w:pPr>
        <w:jc w:val="both"/>
        <w:rPr>
          <w:sz w:val="24"/>
          <w:szCs w:val="24"/>
        </w:rPr>
      </w:pPr>
    </w:p>
    <w:p w:rsidR="00630EA9" w:rsidRDefault="00630EA9" w:rsidP="00630EA9">
      <w:pPr>
        <w:jc w:val="both"/>
        <w:rPr>
          <w:sz w:val="24"/>
          <w:szCs w:val="24"/>
        </w:rPr>
      </w:pPr>
    </w:p>
    <w:p w:rsidR="00630EA9" w:rsidRPr="00721409" w:rsidRDefault="00630EA9" w:rsidP="00630EA9">
      <w:pPr>
        <w:jc w:val="both"/>
        <w:rPr>
          <w:sz w:val="24"/>
          <w:szCs w:val="24"/>
        </w:rPr>
      </w:pPr>
    </w:p>
    <w:p w:rsidR="00630EA9" w:rsidRPr="000906D7" w:rsidRDefault="00630EA9" w:rsidP="00630EA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906D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906D7">
        <w:rPr>
          <w:sz w:val="24"/>
          <w:szCs w:val="24"/>
        </w:rPr>
        <w:t xml:space="preserve"> </w:t>
      </w:r>
      <w:proofErr w:type="spellStart"/>
      <w:r w:rsidRPr="000906D7">
        <w:rPr>
          <w:sz w:val="24"/>
          <w:szCs w:val="24"/>
        </w:rPr>
        <w:t>Сосновоборского</w:t>
      </w:r>
      <w:proofErr w:type="spellEnd"/>
      <w:r w:rsidRPr="000906D7">
        <w:rPr>
          <w:sz w:val="24"/>
          <w:szCs w:val="24"/>
        </w:rPr>
        <w:t xml:space="preserve"> городского округа</w:t>
      </w:r>
      <w:r w:rsidRPr="000906D7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</w:t>
      </w:r>
      <w:r w:rsidRPr="00090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М.В. Воронков</w:t>
      </w: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Default="00630EA9" w:rsidP="00630EA9">
      <w:pPr>
        <w:ind w:right="310"/>
        <w:jc w:val="both"/>
        <w:rPr>
          <w:sz w:val="24"/>
          <w:szCs w:val="24"/>
        </w:rPr>
      </w:pPr>
    </w:p>
    <w:p w:rsidR="00630EA9" w:rsidRPr="00721409" w:rsidRDefault="00630EA9" w:rsidP="00630EA9">
      <w:pPr>
        <w:ind w:right="310"/>
        <w:jc w:val="both"/>
        <w:rPr>
          <w:sz w:val="24"/>
          <w:szCs w:val="24"/>
        </w:rPr>
      </w:pPr>
      <w:bookmarkStart w:id="0" w:name="_GoBack"/>
      <w:bookmarkEnd w:id="0"/>
    </w:p>
    <w:sectPr w:rsidR="00630EA9" w:rsidRPr="00721409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C0" w:rsidRDefault="00B946C0" w:rsidP="00630EA9">
      <w:r>
        <w:separator/>
      </w:r>
    </w:p>
  </w:endnote>
  <w:endnote w:type="continuationSeparator" w:id="0">
    <w:p w:rsidR="00B946C0" w:rsidRDefault="00B946C0" w:rsidP="006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B" w:rsidRDefault="00B946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B" w:rsidRDefault="00B946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B" w:rsidRDefault="00B94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C0" w:rsidRDefault="00B946C0" w:rsidP="00630EA9">
      <w:r>
        <w:separator/>
      </w:r>
    </w:p>
  </w:footnote>
  <w:footnote w:type="continuationSeparator" w:id="0">
    <w:p w:rsidR="00B946C0" w:rsidRDefault="00B946C0" w:rsidP="006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B" w:rsidRDefault="00B946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946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B" w:rsidRDefault="00B946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c35e94f-5961-44df-9ac9-986e92ecbda5"/>
  </w:docVars>
  <w:rsids>
    <w:rsidRoot w:val="00630EA9"/>
    <w:rsid w:val="000230E3"/>
    <w:rsid w:val="00057AB4"/>
    <w:rsid w:val="00061FBC"/>
    <w:rsid w:val="000946DF"/>
    <w:rsid w:val="000B0B5B"/>
    <w:rsid w:val="000D3A9E"/>
    <w:rsid w:val="000F26AA"/>
    <w:rsid w:val="00115F52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30EA9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3913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46C0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0DDD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50FD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EA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E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630EA9"/>
    <w:rPr>
      <w:rFonts w:cs="Times New Roman"/>
      <w:i/>
      <w:iCs/>
    </w:rPr>
  </w:style>
  <w:style w:type="paragraph" w:customStyle="1" w:styleId="1">
    <w:name w:val="Основной текст1"/>
    <w:basedOn w:val="a"/>
    <w:rsid w:val="00630EA9"/>
    <w:pPr>
      <w:shd w:val="clear" w:color="auto" w:fill="FFFFFF"/>
      <w:suppressAutoHyphens/>
      <w:spacing w:before="120" w:line="456" w:lineRule="exact"/>
      <w:jc w:val="both"/>
    </w:pPr>
    <w:rPr>
      <w:rFonts w:ascii="Calibri" w:eastAsia="Calibri" w:hAnsi="Calibri" w:cs="Calibri"/>
      <w:sz w:val="25"/>
      <w:szCs w:val="2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9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EA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E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630EA9"/>
    <w:rPr>
      <w:rFonts w:cs="Times New Roman"/>
      <w:i/>
      <w:iCs/>
    </w:rPr>
  </w:style>
  <w:style w:type="paragraph" w:customStyle="1" w:styleId="1">
    <w:name w:val="Основной текст1"/>
    <w:basedOn w:val="a"/>
    <w:rsid w:val="00630EA9"/>
    <w:pPr>
      <w:shd w:val="clear" w:color="auto" w:fill="FFFFFF"/>
      <w:suppressAutoHyphens/>
      <w:spacing w:before="120" w:line="456" w:lineRule="exact"/>
      <w:jc w:val="both"/>
    </w:pPr>
    <w:rPr>
      <w:rFonts w:ascii="Calibri" w:eastAsia="Calibri" w:hAnsi="Calibri" w:cs="Calibri"/>
      <w:sz w:val="25"/>
      <w:szCs w:val="2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9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809E79173F381C4BA78AB681D0728B74194C7A566D7EBBC097CC2DB87F20DA4A55E5E3FDFC196975B90EF645526CAB5839AAA3C45A4Ey5Q3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8E4BAE8C890DE88705304EA720614A8E62AAECC72D114344A01B6742369FCE69AD34D3794B1AF6463F519114CE7B6BEC84AFF27B27EF8D3yCK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1809E79173F381C4BA78AB681D0728B74194C79596D7EBBC097CC2DB87F20DA4A55E5E3FDFD196375B90EF645526CAB5839AAA3C45A4Ey5Q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2021-01-18T08:47:00Z</dcterms:created>
  <dcterms:modified xsi:type="dcterms:W3CDTF">2021-01-18T09:15:00Z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9c35e94f-5961-44df-9ac9-986e92ecbda5</vt:lpwstr>
  </property>
</Properties>
</file>