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B" w:rsidRDefault="00154CAB" w:rsidP="00154CA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CAB" w:rsidRDefault="00154CAB" w:rsidP="00154CA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54CAB" w:rsidRDefault="00154CAB" w:rsidP="00154CA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54CAB" w:rsidRDefault="00AC429F" w:rsidP="00154CA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54CAB" w:rsidRDefault="00154CAB" w:rsidP="00154CAB">
      <w:pPr>
        <w:pStyle w:val="3"/>
        <w:jc w:val="left"/>
      </w:pPr>
      <w:r>
        <w:t xml:space="preserve">                             постановление</w:t>
      </w:r>
    </w:p>
    <w:p w:rsidR="00154CAB" w:rsidRDefault="00154CAB" w:rsidP="00154CAB">
      <w:pPr>
        <w:jc w:val="center"/>
        <w:rPr>
          <w:sz w:val="24"/>
        </w:rPr>
      </w:pPr>
    </w:p>
    <w:p w:rsidR="00154CAB" w:rsidRDefault="00154CAB" w:rsidP="00154CAB">
      <w:pPr>
        <w:rPr>
          <w:sz w:val="24"/>
        </w:rPr>
      </w:pPr>
      <w:r>
        <w:rPr>
          <w:sz w:val="24"/>
        </w:rPr>
        <w:t xml:space="preserve">                                                        от 05/04/2021 № 649</w:t>
      </w:r>
    </w:p>
    <w:p w:rsidR="00154CAB" w:rsidRPr="00E45AC7" w:rsidRDefault="00154CAB" w:rsidP="00154CAB">
      <w:pPr>
        <w:jc w:val="both"/>
        <w:rPr>
          <w:sz w:val="10"/>
          <w:szCs w:val="10"/>
        </w:rPr>
      </w:pP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>Об утверждении Порядка определения объема и условий</w:t>
      </w: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 xml:space="preserve">предоставления в 2021 году субсидии муниципальному </w:t>
      </w: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>бюджетному учреждению «</w:t>
      </w:r>
      <w:proofErr w:type="spellStart"/>
      <w:r w:rsidRPr="009A1EE3">
        <w:rPr>
          <w:sz w:val="24"/>
          <w:szCs w:val="24"/>
        </w:rPr>
        <w:t>Сосновоборская</w:t>
      </w:r>
      <w:proofErr w:type="spellEnd"/>
      <w:r w:rsidRPr="009A1EE3">
        <w:rPr>
          <w:sz w:val="24"/>
          <w:szCs w:val="24"/>
        </w:rPr>
        <w:t xml:space="preserve"> детская школа </w:t>
      </w: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 xml:space="preserve">искусств «Балтика» из бюджета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</w:t>
      </w: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>округа на иные цели, связанные с реализацией федерального</w:t>
      </w: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>проекта «Культурная среда»</w:t>
      </w:r>
    </w:p>
    <w:p w:rsidR="00154CAB" w:rsidRPr="009A1EE3" w:rsidRDefault="00154CAB" w:rsidP="00154CAB">
      <w:pPr>
        <w:rPr>
          <w:sz w:val="24"/>
          <w:szCs w:val="24"/>
        </w:rPr>
      </w:pPr>
    </w:p>
    <w:p w:rsidR="00154CAB" w:rsidRPr="009A1EE3" w:rsidRDefault="00154CAB" w:rsidP="00154CAB">
      <w:pPr>
        <w:rPr>
          <w:sz w:val="24"/>
          <w:szCs w:val="24"/>
        </w:rPr>
      </w:pPr>
    </w:p>
    <w:p w:rsidR="00154CAB" w:rsidRPr="009A1EE3" w:rsidRDefault="00154CAB" w:rsidP="00154CAB">
      <w:pPr>
        <w:rPr>
          <w:sz w:val="24"/>
          <w:szCs w:val="24"/>
        </w:rPr>
      </w:pPr>
    </w:p>
    <w:p w:rsidR="00154CAB" w:rsidRPr="009A1EE3" w:rsidRDefault="00154CAB" w:rsidP="00154CA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A1EE3">
        <w:rPr>
          <w:sz w:val="24"/>
          <w:szCs w:val="24"/>
        </w:rPr>
        <w:t xml:space="preserve">В соответствии с </w:t>
      </w:r>
      <w:hyperlink r:id="rId8" w:history="1">
        <w:r w:rsidRPr="009A1EE3">
          <w:rPr>
            <w:sz w:val="24"/>
            <w:szCs w:val="24"/>
          </w:rPr>
          <w:t>абзацем вторым пункта 1 статьи 78.1</w:t>
        </w:r>
      </w:hyperlink>
      <w:r w:rsidRPr="009A1EE3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</w:t>
      </w:r>
      <w:proofErr w:type="gramStart"/>
      <w:r w:rsidRPr="009A1EE3">
        <w:rPr>
          <w:b/>
          <w:sz w:val="24"/>
          <w:szCs w:val="24"/>
        </w:rPr>
        <w:t>п</w:t>
      </w:r>
      <w:proofErr w:type="gramEnd"/>
      <w:r w:rsidRPr="009A1EE3">
        <w:rPr>
          <w:b/>
          <w:sz w:val="24"/>
          <w:szCs w:val="24"/>
        </w:rPr>
        <w:t xml:space="preserve"> о с т а н о в л я е </w:t>
      </w:r>
      <w:proofErr w:type="gramStart"/>
      <w:r w:rsidRPr="009A1EE3">
        <w:rPr>
          <w:b/>
          <w:sz w:val="24"/>
          <w:szCs w:val="24"/>
        </w:rPr>
        <w:t>т</w:t>
      </w:r>
      <w:proofErr w:type="gramEnd"/>
      <w:r w:rsidRPr="009A1EE3">
        <w:rPr>
          <w:b/>
          <w:sz w:val="24"/>
          <w:szCs w:val="24"/>
        </w:rPr>
        <w:t>:</w:t>
      </w:r>
    </w:p>
    <w:p w:rsidR="00154CAB" w:rsidRPr="009A1EE3" w:rsidRDefault="00154CAB" w:rsidP="00154CAB">
      <w:pPr>
        <w:ind w:firstLine="708"/>
        <w:jc w:val="both"/>
        <w:rPr>
          <w:b/>
          <w:sz w:val="24"/>
          <w:szCs w:val="24"/>
        </w:rPr>
      </w:pPr>
    </w:p>
    <w:p w:rsidR="00154CAB" w:rsidRDefault="00154CAB" w:rsidP="00154CAB">
      <w:pPr>
        <w:ind w:firstLine="709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1. </w:t>
      </w:r>
      <w:proofErr w:type="gramStart"/>
      <w:r w:rsidRPr="009A1EE3">
        <w:rPr>
          <w:sz w:val="24"/>
          <w:szCs w:val="24"/>
        </w:rPr>
        <w:t xml:space="preserve">Утвердить </w:t>
      </w:r>
      <w:hyperlink w:anchor="Par31" w:history="1">
        <w:r w:rsidRPr="009A1EE3">
          <w:rPr>
            <w:sz w:val="24"/>
            <w:szCs w:val="24"/>
          </w:rPr>
          <w:t>Порядок</w:t>
        </w:r>
      </w:hyperlink>
      <w:r w:rsidRPr="009A1EE3">
        <w:rPr>
          <w:sz w:val="24"/>
          <w:szCs w:val="24"/>
        </w:rPr>
        <w:t xml:space="preserve"> определения объема и условий предоставления в 2021 году субсидии муниципальному бюджетному учреждению «</w:t>
      </w:r>
      <w:proofErr w:type="spellStart"/>
      <w:r w:rsidRPr="009A1EE3">
        <w:rPr>
          <w:sz w:val="24"/>
          <w:szCs w:val="24"/>
        </w:rPr>
        <w:t>Сосновоборская</w:t>
      </w:r>
      <w:proofErr w:type="spellEnd"/>
      <w:r w:rsidRPr="009A1EE3">
        <w:rPr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на иные цели, связанные с реализацией федерального проекта «Культурная среда»,</w:t>
      </w:r>
      <w:r w:rsidRPr="009A1EE3">
        <w:t xml:space="preserve"> </w:t>
      </w:r>
      <w:r>
        <w:rPr>
          <w:sz w:val="24"/>
          <w:szCs w:val="24"/>
        </w:rPr>
        <w:t>а именно: оснащение МБУ ДО «СДШИ «Балтика»</w:t>
      </w:r>
      <w:r w:rsidRPr="009A1EE3">
        <w:rPr>
          <w:sz w:val="24"/>
          <w:szCs w:val="24"/>
        </w:rPr>
        <w:t>, музыкальными инструментами, оборудованием и учебными материалами (далее – Порядок), согласно Приложению №</w:t>
      </w:r>
      <w:r>
        <w:rPr>
          <w:sz w:val="24"/>
          <w:szCs w:val="24"/>
        </w:rPr>
        <w:t xml:space="preserve"> </w:t>
      </w:r>
      <w:r w:rsidRPr="009A1EE3">
        <w:rPr>
          <w:sz w:val="24"/>
          <w:szCs w:val="24"/>
        </w:rPr>
        <w:t>1 к настоящему постановлению.</w:t>
      </w:r>
      <w:proofErr w:type="gramEnd"/>
    </w:p>
    <w:p w:rsidR="00154CAB" w:rsidRDefault="00154CAB" w:rsidP="00154CAB">
      <w:pPr>
        <w:jc w:val="both"/>
        <w:rPr>
          <w:sz w:val="24"/>
          <w:szCs w:val="24"/>
        </w:rPr>
      </w:pPr>
      <w:r w:rsidRPr="009A1EE3">
        <w:tab/>
      </w:r>
      <w:r w:rsidRPr="009A1EE3">
        <w:rPr>
          <w:sz w:val="24"/>
          <w:szCs w:val="24"/>
        </w:rPr>
        <w:t xml:space="preserve">2. </w:t>
      </w:r>
      <w:proofErr w:type="gramStart"/>
      <w:r w:rsidRPr="009A1EE3">
        <w:rPr>
          <w:sz w:val="24"/>
          <w:szCs w:val="24"/>
        </w:rPr>
        <w:t>Утвердить  форму отчета о расходах, источником финансового обеспечения которых является субсидия муниципальному бюджетному учреждению «</w:t>
      </w:r>
      <w:proofErr w:type="spellStart"/>
      <w:r w:rsidRPr="009A1EE3">
        <w:rPr>
          <w:sz w:val="24"/>
          <w:szCs w:val="24"/>
        </w:rPr>
        <w:t>Сосновоборская</w:t>
      </w:r>
      <w:proofErr w:type="spellEnd"/>
      <w:r w:rsidRPr="009A1EE3">
        <w:rPr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на иные цели, связанные с реализацией федерального проекта «Культурная среда», </w:t>
      </w:r>
      <w:r>
        <w:rPr>
          <w:sz w:val="24"/>
          <w:szCs w:val="24"/>
        </w:rPr>
        <w:t>а именно: оснащение МБУ ДО «СДШИ «Балтика»</w:t>
      </w:r>
      <w:r w:rsidRPr="009A1EE3">
        <w:rPr>
          <w:sz w:val="24"/>
          <w:szCs w:val="24"/>
        </w:rPr>
        <w:t>, музыкальными инструментами, оборудованием и учебными материалами (далее Субсидия), согласно Приложению № 2 к настоящему постановлению.</w:t>
      </w:r>
      <w:proofErr w:type="gramEnd"/>
    </w:p>
    <w:p w:rsidR="00154CAB" w:rsidRDefault="00154CAB" w:rsidP="00154CAB">
      <w:pPr>
        <w:ind w:firstLine="708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154CAB" w:rsidRDefault="00154CAB" w:rsidP="00154CAB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4.</w:t>
      </w:r>
      <w:r w:rsidRPr="009A1EE3">
        <w:rPr>
          <w:bCs/>
          <w:sz w:val="24"/>
          <w:szCs w:val="24"/>
        </w:rPr>
        <w:t xml:space="preserve">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>
        <w:rPr>
          <w:bCs/>
          <w:sz w:val="24"/>
          <w:szCs w:val="24"/>
        </w:rPr>
        <w:t>Бастина</w:t>
      </w:r>
      <w:proofErr w:type="spellEnd"/>
      <w:r>
        <w:rPr>
          <w:bCs/>
          <w:sz w:val="24"/>
          <w:szCs w:val="24"/>
        </w:rPr>
        <w:t xml:space="preserve"> Е.А</w:t>
      </w:r>
      <w:r w:rsidRPr="009A1EE3">
        <w:rPr>
          <w:bCs/>
          <w:sz w:val="24"/>
          <w:szCs w:val="24"/>
        </w:rPr>
        <w:t xml:space="preserve">.) </w:t>
      </w:r>
      <w:proofErr w:type="gramStart"/>
      <w:r w:rsidRPr="009A1EE3">
        <w:rPr>
          <w:bCs/>
          <w:sz w:val="24"/>
          <w:szCs w:val="24"/>
        </w:rPr>
        <w:t>разместить</w:t>
      </w:r>
      <w:proofErr w:type="gramEnd"/>
      <w:r w:rsidRPr="009A1EE3">
        <w:rPr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9A1EE3">
        <w:rPr>
          <w:bCs/>
          <w:sz w:val="24"/>
          <w:szCs w:val="24"/>
        </w:rPr>
        <w:t>Сосновоборского</w:t>
      </w:r>
      <w:proofErr w:type="spellEnd"/>
      <w:r w:rsidRPr="009A1EE3">
        <w:rPr>
          <w:bCs/>
          <w:sz w:val="24"/>
          <w:szCs w:val="24"/>
        </w:rPr>
        <w:t xml:space="preserve"> городского округа</w:t>
      </w:r>
      <w:r w:rsidRPr="009A1EE3">
        <w:rPr>
          <w:sz w:val="24"/>
          <w:szCs w:val="24"/>
        </w:rPr>
        <w:t>.</w:t>
      </w:r>
    </w:p>
    <w:p w:rsidR="00154CAB" w:rsidRDefault="00154CAB" w:rsidP="00154C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5. Настоящее постановление вступает в силу со дня подписания.</w:t>
      </w:r>
    </w:p>
    <w:p w:rsidR="00154CAB" w:rsidRPr="009A1EE3" w:rsidRDefault="00154CAB" w:rsidP="00154CA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6. </w:t>
      </w:r>
      <w:proofErr w:type="gramStart"/>
      <w:r w:rsidRPr="009A1EE3">
        <w:rPr>
          <w:sz w:val="24"/>
          <w:szCs w:val="24"/>
        </w:rPr>
        <w:t>Контроль за</w:t>
      </w:r>
      <w:proofErr w:type="gramEnd"/>
      <w:r w:rsidRPr="009A1EE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54CAB" w:rsidRPr="009A1EE3" w:rsidRDefault="00154CAB" w:rsidP="00154CAB">
      <w:pPr>
        <w:rPr>
          <w:sz w:val="24"/>
          <w:szCs w:val="24"/>
        </w:rPr>
      </w:pPr>
    </w:p>
    <w:p w:rsidR="00154CAB" w:rsidRPr="009A1EE3" w:rsidRDefault="00154CAB" w:rsidP="00154CAB">
      <w:pPr>
        <w:rPr>
          <w:sz w:val="24"/>
          <w:szCs w:val="24"/>
        </w:rPr>
      </w:pPr>
    </w:p>
    <w:p w:rsidR="00154CAB" w:rsidRPr="009A1EE3" w:rsidRDefault="00154CAB" w:rsidP="00154CAB">
      <w:pPr>
        <w:rPr>
          <w:sz w:val="24"/>
          <w:szCs w:val="24"/>
        </w:rPr>
      </w:pPr>
    </w:p>
    <w:p w:rsidR="00154CAB" w:rsidRPr="009A1EE3" w:rsidRDefault="00154CAB" w:rsidP="00154CAB">
      <w:pPr>
        <w:rPr>
          <w:sz w:val="24"/>
          <w:szCs w:val="24"/>
        </w:rPr>
      </w:pPr>
      <w:r w:rsidRPr="009A1EE3">
        <w:rPr>
          <w:sz w:val="24"/>
          <w:szCs w:val="24"/>
        </w:rPr>
        <w:t xml:space="preserve">Глава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9A1E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9A1EE3">
        <w:rPr>
          <w:sz w:val="24"/>
          <w:szCs w:val="24"/>
        </w:rPr>
        <w:t>М.В. Воронков</w:t>
      </w:r>
    </w:p>
    <w:p w:rsidR="00154CAB" w:rsidRPr="009A1EE3" w:rsidRDefault="00154CAB" w:rsidP="00154CAB">
      <w:pPr>
        <w:rPr>
          <w:sz w:val="12"/>
          <w:szCs w:val="18"/>
        </w:rPr>
      </w:pPr>
    </w:p>
    <w:p w:rsidR="00154CAB" w:rsidRPr="009A1EE3" w:rsidRDefault="00154CAB" w:rsidP="00154CAB">
      <w:pPr>
        <w:rPr>
          <w:sz w:val="12"/>
          <w:szCs w:val="18"/>
        </w:rPr>
      </w:pPr>
    </w:p>
    <w:p w:rsidR="00154CAB" w:rsidRPr="009A1EE3" w:rsidRDefault="00154CAB" w:rsidP="00154CAB">
      <w:pPr>
        <w:rPr>
          <w:sz w:val="12"/>
          <w:szCs w:val="18"/>
        </w:rPr>
      </w:pPr>
    </w:p>
    <w:p w:rsidR="00154CAB" w:rsidRPr="009A1EE3" w:rsidRDefault="00154CAB" w:rsidP="00154CAB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9A1EE3">
        <w:rPr>
          <w:sz w:val="24"/>
          <w:szCs w:val="24"/>
        </w:rPr>
        <w:lastRenderedPageBreak/>
        <w:t>УТВЕРЖДЕН</w:t>
      </w:r>
    </w:p>
    <w:p w:rsidR="00154CAB" w:rsidRPr="009A1EE3" w:rsidRDefault="00154CAB" w:rsidP="00154C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1EE3">
        <w:rPr>
          <w:sz w:val="24"/>
          <w:szCs w:val="24"/>
        </w:rPr>
        <w:t xml:space="preserve">постановлением администрации </w:t>
      </w:r>
    </w:p>
    <w:p w:rsidR="00154CAB" w:rsidRPr="009A1EE3" w:rsidRDefault="00154CAB" w:rsidP="00154CAB">
      <w:pPr>
        <w:widowControl w:val="0"/>
        <w:autoSpaceDE w:val="0"/>
        <w:autoSpaceDN w:val="0"/>
        <w:jc w:val="right"/>
        <w:rPr>
          <w:sz w:val="24"/>
          <w:szCs w:val="24"/>
        </w:rPr>
      </w:pP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</w:t>
      </w:r>
    </w:p>
    <w:p w:rsidR="00154CAB" w:rsidRPr="009A1EE3" w:rsidRDefault="00154CAB" w:rsidP="00154C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1EE3">
        <w:rPr>
          <w:sz w:val="24"/>
          <w:szCs w:val="24"/>
        </w:rPr>
        <w:t xml:space="preserve">от </w:t>
      </w:r>
      <w:r>
        <w:rPr>
          <w:sz w:val="24"/>
          <w:szCs w:val="24"/>
        </w:rPr>
        <w:t>05/04/2021 № 649</w:t>
      </w:r>
    </w:p>
    <w:p w:rsidR="00154CAB" w:rsidRPr="009A1EE3" w:rsidRDefault="00154CAB" w:rsidP="00154CAB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1EE3">
        <w:rPr>
          <w:sz w:val="24"/>
          <w:szCs w:val="24"/>
        </w:rPr>
        <w:t>(Приложение № 1)</w:t>
      </w:r>
    </w:p>
    <w:p w:rsidR="00154CAB" w:rsidRPr="009A1EE3" w:rsidRDefault="00154CAB" w:rsidP="00154CA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bookmarkStart w:id="1" w:name="Par31"/>
    <w:bookmarkEnd w:id="1"/>
    <w:p w:rsidR="00154CAB" w:rsidRPr="009A1EE3" w:rsidRDefault="00154CAB" w:rsidP="00154C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A1EE3">
        <w:rPr>
          <w:b/>
          <w:sz w:val="24"/>
          <w:szCs w:val="24"/>
        </w:rPr>
        <w:fldChar w:fldCharType="begin"/>
      </w:r>
      <w:r w:rsidRPr="009A1EE3">
        <w:rPr>
          <w:b/>
          <w:sz w:val="24"/>
          <w:szCs w:val="24"/>
        </w:rPr>
        <w:instrText xml:space="preserve">HYPERLINK \l Par31  </w:instrText>
      </w:r>
      <w:r w:rsidRPr="009A1EE3">
        <w:rPr>
          <w:b/>
          <w:sz w:val="24"/>
          <w:szCs w:val="24"/>
        </w:rPr>
        <w:fldChar w:fldCharType="separate"/>
      </w:r>
      <w:r w:rsidRPr="009A1EE3">
        <w:rPr>
          <w:b/>
          <w:sz w:val="24"/>
          <w:szCs w:val="24"/>
        </w:rPr>
        <w:t>Порядок</w:t>
      </w:r>
      <w:r w:rsidRPr="009A1EE3">
        <w:rPr>
          <w:b/>
          <w:sz w:val="24"/>
          <w:szCs w:val="24"/>
        </w:rPr>
        <w:fldChar w:fldCharType="end"/>
      </w:r>
      <w:r w:rsidRPr="009A1EE3">
        <w:rPr>
          <w:b/>
          <w:sz w:val="24"/>
          <w:szCs w:val="24"/>
        </w:rPr>
        <w:t xml:space="preserve"> </w:t>
      </w:r>
    </w:p>
    <w:p w:rsidR="00154CAB" w:rsidRPr="009A1EE3" w:rsidRDefault="00154CAB" w:rsidP="00154C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A1EE3">
        <w:rPr>
          <w:b/>
          <w:sz w:val="24"/>
          <w:szCs w:val="24"/>
        </w:rPr>
        <w:t>определения объема и условий предоставления в 2021 году субсидии муниципальному бюджетному учреждению «</w:t>
      </w:r>
      <w:proofErr w:type="spellStart"/>
      <w:r w:rsidRPr="009A1EE3">
        <w:rPr>
          <w:b/>
          <w:sz w:val="24"/>
          <w:szCs w:val="24"/>
        </w:rPr>
        <w:t>Сосновоборская</w:t>
      </w:r>
      <w:proofErr w:type="spellEnd"/>
      <w:r w:rsidRPr="009A1EE3">
        <w:rPr>
          <w:b/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9A1EE3">
        <w:rPr>
          <w:b/>
          <w:sz w:val="24"/>
          <w:szCs w:val="24"/>
        </w:rPr>
        <w:t>Сосновоборского</w:t>
      </w:r>
      <w:proofErr w:type="spellEnd"/>
      <w:r w:rsidRPr="009A1EE3">
        <w:rPr>
          <w:b/>
          <w:sz w:val="24"/>
          <w:szCs w:val="24"/>
        </w:rPr>
        <w:t xml:space="preserve"> городского округа на иные цели, связанные с реализацией федерального проекта «Культурная среда»,</w:t>
      </w:r>
      <w:r w:rsidRPr="009A1EE3">
        <w:rPr>
          <w:sz w:val="24"/>
          <w:szCs w:val="24"/>
        </w:rPr>
        <w:t xml:space="preserve"> </w:t>
      </w:r>
      <w:r w:rsidRPr="009A1EE3">
        <w:rPr>
          <w:b/>
          <w:sz w:val="24"/>
          <w:szCs w:val="24"/>
        </w:rPr>
        <w:t>а именно: оснащение МБУ ДО "СДШИ "Балтика", музыкальными инструментами, оборудованием и учебными материалами</w:t>
      </w:r>
    </w:p>
    <w:p w:rsidR="00154CAB" w:rsidRPr="009A1EE3" w:rsidRDefault="00154CAB" w:rsidP="00154C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 w:rsidRPr="009A1EE3">
        <w:rPr>
          <w:b/>
          <w:sz w:val="24"/>
          <w:szCs w:val="24"/>
          <w:lang w:val="en-US"/>
        </w:rPr>
        <w:t>I</w:t>
      </w:r>
      <w:r w:rsidRPr="009A1EE3">
        <w:rPr>
          <w:b/>
          <w:sz w:val="24"/>
          <w:szCs w:val="24"/>
        </w:rPr>
        <w:t>. Общие положения.</w:t>
      </w:r>
      <w:proofErr w:type="gramEnd"/>
    </w:p>
    <w:p w:rsidR="00154CAB" w:rsidRPr="009A1EE3" w:rsidRDefault="00154CAB" w:rsidP="00154CA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1. </w:t>
      </w:r>
      <w:proofErr w:type="gramStart"/>
      <w:r w:rsidRPr="009A1EE3">
        <w:rPr>
          <w:sz w:val="24"/>
          <w:szCs w:val="24"/>
        </w:rPr>
        <w:t>Настоящий Порядок устанавливает определения объема и условий предоставления в 2021 году субсидии муниципальному бюджетному учреждению «</w:t>
      </w:r>
      <w:proofErr w:type="spellStart"/>
      <w:r w:rsidRPr="009A1EE3">
        <w:rPr>
          <w:sz w:val="24"/>
          <w:szCs w:val="24"/>
        </w:rPr>
        <w:t>Сосновоборская</w:t>
      </w:r>
      <w:proofErr w:type="spellEnd"/>
      <w:r w:rsidRPr="009A1EE3">
        <w:rPr>
          <w:sz w:val="24"/>
          <w:szCs w:val="24"/>
        </w:rPr>
        <w:t xml:space="preserve"> детская школа искусств «Балтика» из бюджета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на иные цели, связанные с реализацией федерального проекта «Культурная среда», а именно: оснащение МБУ ДО "СДШИ "Балтика", музыкальными инструментами, оборудованием и учебными материалами (далее соответственно - Порядок, МБУ ДО «СДШИ «Балтика», субсидия).</w:t>
      </w:r>
      <w:proofErr w:type="gramEnd"/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2. Субсидия предоставляется на цели, указанные в </w:t>
      </w:r>
      <w:hyperlink w:anchor="Par39" w:history="1">
        <w:r w:rsidRPr="009A1EE3">
          <w:rPr>
            <w:sz w:val="24"/>
            <w:szCs w:val="24"/>
          </w:rPr>
          <w:t>пункте 3</w:t>
        </w:r>
      </w:hyperlink>
      <w:r w:rsidRPr="009A1EE3">
        <w:rPr>
          <w:sz w:val="24"/>
          <w:szCs w:val="24"/>
        </w:rPr>
        <w:t xml:space="preserve"> Порядка в пределах лимитов бюджетных обязательств, доведенных администрации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как главному распорядителю бюджетных средств.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3. Субсидия предоставляется на следующие цели: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3.1. оснащение в 2021 году МБУ ДО «СДШИ «Балтика» музыкальными инструментами, оборудованием и учебными материалами.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9A1EE3">
        <w:rPr>
          <w:b/>
          <w:sz w:val="24"/>
          <w:szCs w:val="24"/>
          <w:lang w:val="en-US"/>
        </w:rPr>
        <w:t>II</w:t>
      </w:r>
      <w:r w:rsidRPr="009A1EE3">
        <w:rPr>
          <w:b/>
          <w:sz w:val="24"/>
          <w:szCs w:val="24"/>
        </w:rPr>
        <w:t>. Условия и порядок предоставления субсидий.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" w:name="Par39"/>
      <w:bookmarkEnd w:id="2"/>
      <w:r w:rsidRPr="009A1EE3">
        <w:rPr>
          <w:sz w:val="24"/>
          <w:szCs w:val="24"/>
        </w:rPr>
        <w:t>4. Размер предоставления субсидии определяется в следующем порядке: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" w:name="Par40"/>
      <w:bookmarkStart w:id="4" w:name="Par51"/>
      <w:bookmarkEnd w:id="3"/>
      <w:bookmarkEnd w:id="4"/>
      <w:r w:rsidRPr="009A1EE3">
        <w:rPr>
          <w:sz w:val="24"/>
          <w:szCs w:val="24"/>
        </w:rPr>
        <w:t xml:space="preserve">4.1. </w:t>
      </w:r>
      <w:proofErr w:type="gramStart"/>
      <w:r w:rsidRPr="009A1EE3">
        <w:rPr>
          <w:sz w:val="24"/>
          <w:szCs w:val="24"/>
        </w:rPr>
        <w:t xml:space="preserve">Для субсидии, предусмотренной </w:t>
      </w:r>
      <w:hyperlink w:anchor="Par51" w:history="1">
        <w:r w:rsidRPr="009A1EE3">
          <w:rPr>
            <w:sz w:val="24"/>
            <w:szCs w:val="24"/>
          </w:rPr>
          <w:t>подпунктом 3.1 пункта 3</w:t>
        </w:r>
      </w:hyperlink>
      <w:r w:rsidRPr="009A1EE3">
        <w:rPr>
          <w:sz w:val="24"/>
          <w:szCs w:val="24"/>
        </w:rPr>
        <w:t xml:space="preserve"> Порядка размер субсидии определяется в соответствии с соглашением между комитетом по культуре и туризму Ленинградской области и администрацией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о предоставлении субсидии из бюджета субъекта Российской Федерации местному бюджету в рамках федерального проекта «Культурная среда» от 16.02.2021 года № 41754000-1-2021-004 (№ 155 от 24.02.2021) и составляет 8 333 333,33 рублей.</w:t>
      </w:r>
      <w:proofErr w:type="gramEnd"/>
      <w:r w:rsidRPr="009A1EE3">
        <w:rPr>
          <w:sz w:val="24"/>
          <w:szCs w:val="24"/>
        </w:rPr>
        <w:t xml:space="preserve"> В том числе: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- 4 187 499,94 рублей за счет средств федерального бюджета;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- 2 062 500,06 рублей за счет областного бюджета;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- 2 083 333,33 рублей за счет местного бюджета.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5" w:name="Par53"/>
      <w:bookmarkStart w:id="6" w:name="Par65"/>
      <w:bookmarkEnd w:id="5"/>
      <w:bookmarkEnd w:id="6"/>
      <w:r w:rsidRPr="009A1EE3">
        <w:rPr>
          <w:sz w:val="24"/>
          <w:szCs w:val="24"/>
        </w:rPr>
        <w:t>5. Результатами предоставления субсидии являются: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5.1. Для субсидии, предусмотренной </w:t>
      </w:r>
      <w:hyperlink w:anchor="Par51" w:history="1">
        <w:r w:rsidRPr="009A1EE3">
          <w:rPr>
            <w:sz w:val="24"/>
            <w:szCs w:val="24"/>
          </w:rPr>
          <w:t>подпунктом 3.1 пункта 3</w:t>
        </w:r>
      </w:hyperlink>
      <w:r w:rsidRPr="009A1EE3">
        <w:rPr>
          <w:sz w:val="24"/>
          <w:szCs w:val="24"/>
        </w:rPr>
        <w:t xml:space="preserve"> Порядка, - оснащение в 2021 году МБУ ДО «СДШИ «Балтика» музыкальными инструментами, оборудованием и учебными материалами.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7" w:name="Par74"/>
      <w:bookmarkStart w:id="8" w:name="Par84"/>
      <w:bookmarkStart w:id="9" w:name="Par87"/>
      <w:bookmarkEnd w:id="7"/>
      <w:bookmarkEnd w:id="8"/>
      <w:bookmarkEnd w:id="9"/>
      <w:r w:rsidRPr="009A1EE3">
        <w:rPr>
          <w:sz w:val="24"/>
          <w:szCs w:val="24"/>
        </w:rPr>
        <w:t xml:space="preserve">5.2. </w:t>
      </w:r>
      <w:proofErr w:type="gramStart"/>
      <w:r w:rsidRPr="009A1EE3">
        <w:rPr>
          <w:sz w:val="24"/>
          <w:szCs w:val="24"/>
        </w:rPr>
        <w:t xml:space="preserve">Субсидия предоставляется на основании соглашения о предоставлении субсидии, заключаемого между администрацией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и МБУ ДО «СДШИ «Балтика» (далее – соглашение) в соответствии с типовой формой, установленной комитетом финансов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 на основании </w:t>
      </w:r>
      <w:hyperlink r:id="rId9" w:history="1">
        <w:r w:rsidRPr="009A1EE3">
          <w:rPr>
            <w:sz w:val="24"/>
            <w:szCs w:val="24"/>
          </w:rPr>
          <w:t>абзаца седьмого пункта 1 статьи 78.1</w:t>
        </w:r>
      </w:hyperlink>
      <w:r w:rsidRPr="009A1EE3">
        <w:rPr>
          <w:sz w:val="24"/>
          <w:szCs w:val="24"/>
        </w:rPr>
        <w:t xml:space="preserve"> Бюджетного кодекса Российской Федерации, заключенного по средствам информационной системы управления общественными финансами «Электронный бюджет».</w:t>
      </w:r>
      <w:proofErr w:type="gramEnd"/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color w:val="FF0000"/>
          <w:sz w:val="24"/>
          <w:szCs w:val="24"/>
        </w:rPr>
      </w:pPr>
      <w:r w:rsidRPr="009A1EE3">
        <w:rPr>
          <w:sz w:val="24"/>
          <w:szCs w:val="24"/>
        </w:rPr>
        <w:t xml:space="preserve">6. Для получения субсидий, указанных в </w:t>
      </w:r>
      <w:hyperlink w:anchor="Par39" w:history="1">
        <w:r w:rsidRPr="009A1EE3">
          <w:rPr>
            <w:sz w:val="24"/>
            <w:szCs w:val="24"/>
          </w:rPr>
          <w:t>пункте 3</w:t>
        </w:r>
      </w:hyperlink>
      <w:r w:rsidRPr="009A1EE3">
        <w:rPr>
          <w:sz w:val="24"/>
          <w:szCs w:val="24"/>
        </w:rPr>
        <w:t xml:space="preserve"> Порядка, МБУ ДО «СДШИ «Балтика»</w:t>
      </w:r>
      <w:r w:rsidRPr="009A1EE3">
        <w:rPr>
          <w:color w:val="FF0000"/>
          <w:sz w:val="24"/>
          <w:szCs w:val="24"/>
        </w:rPr>
        <w:t xml:space="preserve"> 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color w:val="FF0000"/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направляет в отдел по развитию культуры и туризма администрации:</w:t>
      </w:r>
    </w:p>
    <w:p w:rsidR="00154CAB" w:rsidRPr="009A1EE3" w:rsidRDefault="00154CAB" w:rsidP="00154CAB">
      <w:pPr>
        <w:widowControl w:val="0"/>
        <w:tabs>
          <w:tab w:val="left" w:pos="426"/>
          <w:tab w:val="left" w:pos="1342"/>
        </w:tabs>
        <w:ind w:left="60" w:right="40"/>
        <w:jc w:val="both"/>
        <w:rPr>
          <w:bCs/>
          <w:sz w:val="24"/>
          <w:szCs w:val="24"/>
          <w:lang w:eastAsia="en-US"/>
        </w:rPr>
      </w:pPr>
      <w:r w:rsidRPr="009A1EE3">
        <w:rPr>
          <w:sz w:val="24"/>
          <w:szCs w:val="24"/>
          <w:lang w:eastAsia="en-US"/>
        </w:rPr>
        <w:tab/>
        <w:t xml:space="preserve">6.1. Заявку </w:t>
      </w:r>
      <w:r w:rsidRPr="009A1EE3">
        <w:rPr>
          <w:bCs/>
          <w:sz w:val="24"/>
          <w:szCs w:val="24"/>
          <w:lang w:eastAsia="en-US"/>
        </w:rPr>
        <w:t xml:space="preserve">для участия в конкурсном отборе на предоставление субсидии из областного </w:t>
      </w:r>
      <w:r w:rsidRPr="009A1EE3">
        <w:rPr>
          <w:bCs/>
          <w:sz w:val="24"/>
          <w:szCs w:val="24"/>
          <w:lang w:eastAsia="en-US"/>
        </w:rPr>
        <w:lastRenderedPageBreak/>
        <w:t>бюджета Ленинградской области в 2021 году по направлению «Оснащение детских школ искусств музыкальными инструментами» в рамках подпрограммы «Обеспечение условий реализации государственной программы» федерального проекта «Культурная среда» государственной программы Ленинградской области «Развитие культуры в Ленинградской области»</w:t>
      </w:r>
      <w:r w:rsidRPr="009A1EE3">
        <w:rPr>
          <w:sz w:val="24"/>
          <w:szCs w:val="24"/>
          <w:lang w:eastAsia="en-US"/>
        </w:rPr>
        <w:t>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6.2. Перечень потребности </w:t>
      </w:r>
      <w:proofErr w:type="gramStart"/>
      <w:r w:rsidRPr="009A1EE3">
        <w:rPr>
          <w:sz w:val="24"/>
          <w:szCs w:val="24"/>
        </w:rPr>
        <w:t>в</w:t>
      </w:r>
      <w:proofErr w:type="gramEnd"/>
      <w:r w:rsidRPr="009A1EE3">
        <w:rPr>
          <w:sz w:val="24"/>
          <w:szCs w:val="24"/>
        </w:rPr>
        <w:t xml:space="preserve"> </w:t>
      </w:r>
      <w:proofErr w:type="gramStart"/>
      <w:r w:rsidRPr="009A1EE3">
        <w:rPr>
          <w:sz w:val="24"/>
          <w:szCs w:val="24"/>
        </w:rPr>
        <w:t>музыкальных</w:t>
      </w:r>
      <w:proofErr w:type="gramEnd"/>
      <w:r w:rsidRPr="009A1EE3">
        <w:rPr>
          <w:sz w:val="24"/>
          <w:szCs w:val="24"/>
        </w:rPr>
        <w:t xml:space="preserve"> инструментов, оборудования и учебных материалов.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9A1EE3">
        <w:rPr>
          <w:sz w:val="24"/>
          <w:szCs w:val="24"/>
        </w:rPr>
        <w:t xml:space="preserve">7. </w:t>
      </w:r>
      <w:proofErr w:type="gramStart"/>
      <w:r w:rsidRPr="009A1EE3">
        <w:rPr>
          <w:sz w:val="24"/>
          <w:szCs w:val="24"/>
        </w:rPr>
        <w:t xml:space="preserve">Отдел по развитию культуры и туризма администрации (далее – Учредитель), направляет Заявку </w:t>
      </w:r>
      <w:r w:rsidRPr="009A1EE3">
        <w:rPr>
          <w:bCs/>
          <w:sz w:val="24"/>
          <w:szCs w:val="24"/>
        </w:rPr>
        <w:t>для участия в конкурсном отборе на предоставление субсидии из областного бюджета Ленинградской области в 2021 году по направлению «Оснащение детских школ искусств музыкальными инструментами» в рамках подпрограммы «Обеспечение условий реализации государственной программы» федерального проекта «Культурная среда» государственной программы Ленинградской области «Развитие культуры в Ленинградской области» в комитет по культуре</w:t>
      </w:r>
      <w:proofErr w:type="gramEnd"/>
      <w:r w:rsidRPr="009A1EE3">
        <w:rPr>
          <w:bCs/>
          <w:sz w:val="24"/>
          <w:szCs w:val="24"/>
        </w:rPr>
        <w:t xml:space="preserve"> Ленинградской области.</w:t>
      </w:r>
    </w:p>
    <w:p w:rsidR="00154CAB" w:rsidRPr="009A1EE3" w:rsidRDefault="00154CAB" w:rsidP="00154CAB">
      <w:pPr>
        <w:widowControl w:val="0"/>
        <w:ind w:firstLine="426"/>
        <w:jc w:val="both"/>
        <w:rPr>
          <w:sz w:val="24"/>
          <w:szCs w:val="24"/>
          <w:lang w:eastAsia="en-US"/>
        </w:rPr>
      </w:pPr>
      <w:r w:rsidRPr="009A1EE3">
        <w:rPr>
          <w:sz w:val="24"/>
          <w:szCs w:val="24"/>
          <w:lang w:eastAsia="en-US"/>
        </w:rPr>
        <w:t xml:space="preserve">8. </w:t>
      </w:r>
      <w:r w:rsidRPr="009A1EE3">
        <w:rPr>
          <w:sz w:val="24"/>
          <w:szCs w:val="24"/>
          <w:lang w:eastAsia="en-US"/>
        </w:rPr>
        <w:tab/>
      </w:r>
      <w:proofErr w:type="gramStart"/>
      <w:r w:rsidRPr="009A1EE3">
        <w:rPr>
          <w:sz w:val="24"/>
          <w:szCs w:val="24"/>
          <w:lang w:eastAsia="en-US"/>
        </w:rPr>
        <w:t xml:space="preserve">Предоставление субсидии осуществляется по итогам рассмотрения Заявки единой комиссией комитета по культуре Ленинградской области по проведению отбора муниципальных образований для предоставления субсидий, на основании соглашения, заключенному между администрацией </w:t>
      </w:r>
      <w:proofErr w:type="spellStart"/>
      <w:r w:rsidRPr="009A1EE3">
        <w:rPr>
          <w:sz w:val="24"/>
          <w:szCs w:val="24"/>
          <w:lang w:eastAsia="en-US"/>
        </w:rPr>
        <w:t>Сосновоборского</w:t>
      </w:r>
      <w:proofErr w:type="spellEnd"/>
      <w:r w:rsidRPr="009A1EE3">
        <w:rPr>
          <w:sz w:val="24"/>
          <w:szCs w:val="24"/>
          <w:lang w:eastAsia="en-US"/>
        </w:rPr>
        <w:t xml:space="preserve"> городского округа и комитетом по культуре Ленинградской области о предоставлении субсидии из бюджета субъекта Российской Федерации местному бюджету на цели, указанные в пункте 3 настоящего порядка.</w:t>
      </w:r>
      <w:proofErr w:type="gramEnd"/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9. Основаниями для отказа МБУ ДО «СДШИ «Балтика» в предоставлении субсидии являются: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9.1. отрицательное решение единой комиссией комитета по культуре Ленинградской области по проведению отбора муниципальных образований для предоставления субсидий по итогам рассмотрения Заявки на предоставление субсидии;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9.2. непредставление (представление в неполном объеме) МБУ ДО «СДШИ «Балтика»  документов, указанных в </w:t>
      </w:r>
      <w:hyperlink w:anchor="Par74" w:history="1">
        <w:r w:rsidRPr="009A1EE3">
          <w:rPr>
            <w:sz w:val="24"/>
            <w:szCs w:val="24"/>
          </w:rPr>
          <w:t>пункте 6</w:t>
        </w:r>
      </w:hyperlink>
      <w:r w:rsidRPr="009A1EE3">
        <w:rPr>
          <w:sz w:val="24"/>
          <w:szCs w:val="24"/>
        </w:rPr>
        <w:t xml:space="preserve"> Порядка;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9.3.недостоверность информации, содержащейся в документах, представленных МБУ ДО «СДШИ «Балтика»;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9.4 отсутствие необходимого объема лимитов бюджетных обязательств на предоставление субсидий на соответствующий финансовый год (соответствующий финансовый год и плановый период), доведенных в соответствии с бюджетным законодательством Российской Федерации администрации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округа.</w:t>
      </w:r>
    </w:p>
    <w:p w:rsidR="00154CAB" w:rsidRPr="009A1EE3" w:rsidRDefault="00154CAB" w:rsidP="00154CAB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10. Предоставление субсидии осуществляется при условии соблюдения МБУ ДО «СДШИ «Балтика» на 1-е число месяца, предшествующего месяцу, в котором планируется принятие решения о предоставлении субсидии, следующих требований: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б) отсутствие просроченной задолженности по возврату в местный бюджет субсидий, </w:t>
      </w:r>
      <w:proofErr w:type="gramStart"/>
      <w:r w:rsidRPr="009A1EE3">
        <w:rPr>
          <w:sz w:val="24"/>
          <w:szCs w:val="24"/>
        </w:rPr>
        <w:t>предоставленных</w:t>
      </w:r>
      <w:proofErr w:type="gramEnd"/>
      <w:r w:rsidRPr="009A1EE3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11. В случае отказа в предоставлении субсидии учреждение вправе повторно представить Учредителю документы, предусмотренные </w:t>
      </w:r>
      <w:hyperlink w:anchor="Par74" w:history="1">
        <w:r w:rsidRPr="009A1EE3">
          <w:rPr>
            <w:sz w:val="24"/>
            <w:szCs w:val="24"/>
          </w:rPr>
          <w:t>пунктом 6</w:t>
        </w:r>
      </w:hyperlink>
      <w:r w:rsidRPr="009A1EE3">
        <w:rPr>
          <w:sz w:val="24"/>
          <w:szCs w:val="24"/>
        </w:rPr>
        <w:t xml:space="preserve"> Порядка.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Рассмотрение повторно представленных документов осуществляется в соответствии с </w:t>
      </w:r>
      <w:hyperlink w:anchor="Par84" w:history="1">
        <w:r w:rsidRPr="009A1EE3">
          <w:rPr>
            <w:sz w:val="24"/>
            <w:szCs w:val="24"/>
          </w:rPr>
          <w:t>пунктами 7</w:t>
        </w:r>
      </w:hyperlink>
      <w:r w:rsidRPr="009A1EE3">
        <w:rPr>
          <w:sz w:val="24"/>
          <w:szCs w:val="24"/>
        </w:rPr>
        <w:t>-8  Порядка.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12. Операции с субсидией учитываются на лицевых счетах, предназначенных для учета операций со средствами, предоставленными МБУ ДО «СДШИ «Балтика» в виде субсидий, открываемых МБУ ДО «СДШИ «Балтика» в комитете финансов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округа. Субсидии перечисляются в соответствии с графиком, предусмотренным в соглашении.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13. Не использованные на конец финансового года остатки субсидии не допускаются.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9A1EE3">
        <w:rPr>
          <w:b/>
          <w:sz w:val="24"/>
          <w:szCs w:val="24"/>
          <w:lang w:val="en-US"/>
        </w:rPr>
        <w:lastRenderedPageBreak/>
        <w:t>III</w:t>
      </w:r>
      <w:r w:rsidRPr="009A1EE3">
        <w:rPr>
          <w:b/>
          <w:sz w:val="24"/>
          <w:szCs w:val="24"/>
        </w:rPr>
        <w:t>. Требования к отчетности.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10" w:name="Par105"/>
      <w:bookmarkEnd w:id="10"/>
      <w:r w:rsidRPr="009A1EE3">
        <w:rPr>
          <w:sz w:val="24"/>
          <w:szCs w:val="24"/>
        </w:rPr>
        <w:t xml:space="preserve">14. МБУ ДО «СДШИ «Балтика» не позднее 7 </w:t>
      </w:r>
      <w:proofErr w:type="gramStart"/>
      <w:r w:rsidRPr="009A1EE3">
        <w:rPr>
          <w:sz w:val="24"/>
          <w:szCs w:val="24"/>
        </w:rPr>
        <w:t>календарных дней, следующих за отчетным месяцем предоставляет</w:t>
      </w:r>
      <w:proofErr w:type="gramEnd"/>
      <w:r w:rsidRPr="009A1EE3">
        <w:rPr>
          <w:sz w:val="24"/>
          <w:szCs w:val="24"/>
        </w:rPr>
        <w:t xml:space="preserve"> в отдел по развитию культуры и туризма: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отчет о расходах, источником финансового обеспечения которых является субсидия, (Приложение).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9A1EE3">
        <w:rPr>
          <w:b/>
          <w:sz w:val="24"/>
          <w:szCs w:val="24"/>
          <w:lang w:val="en-US"/>
        </w:rPr>
        <w:t>IV</w:t>
      </w:r>
      <w:r w:rsidRPr="009A1EE3">
        <w:rPr>
          <w:b/>
          <w:sz w:val="24"/>
          <w:szCs w:val="24"/>
        </w:rPr>
        <w:t>. Порядок осуществления контроля за соблюдением целей, условий и порядком предоставления субсидий и ответственность за их несоблюдение.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15. </w:t>
      </w:r>
      <w:proofErr w:type="gramStart"/>
      <w:r w:rsidRPr="009A1EE3">
        <w:rPr>
          <w:sz w:val="24"/>
          <w:szCs w:val="24"/>
        </w:rPr>
        <w:t>Контроль за</w:t>
      </w:r>
      <w:proofErr w:type="gramEnd"/>
      <w:r w:rsidRPr="009A1EE3">
        <w:rPr>
          <w:sz w:val="24"/>
          <w:szCs w:val="24"/>
        </w:rPr>
        <w:t xml:space="preserve"> соблюдением целей и условий предоставления субсидий, установленных Порядком, осуществляется Учредителем и органами муниципального финансового контроля в соответствии с законодательством Российской Федерации и муниципальными правовыми актами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округа.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16. В случае несоблюдения МБУ ДО «СДШИ «Балтика» целей и условий, установленных при предоставлении субсидии, выявленных по результатам проверок, проведенных Учредителем и уполномоченным органом муниципального финансового контроля, соответствующие средства подлежат возврату </w:t>
      </w:r>
      <w:proofErr w:type="gramStart"/>
      <w:r w:rsidRPr="009A1EE3">
        <w:rPr>
          <w:sz w:val="24"/>
          <w:szCs w:val="24"/>
        </w:rPr>
        <w:t>в</w:t>
      </w:r>
      <w:proofErr w:type="gramEnd"/>
      <w:r w:rsidRPr="009A1EE3">
        <w:rPr>
          <w:sz w:val="24"/>
          <w:szCs w:val="24"/>
        </w:rPr>
        <w:t xml:space="preserve"> местный бюджет: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>на основании требования Учредителя - в течение 10 календарных дней со дня получения требования;</w:t>
      </w:r>
    </w:p>
    <w:p w:rsidR="00154CAB" w:rsidRPr="009A1EE3" w:rsidRDefault="00154CAB" w:rsidP="00154CA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A1EE3">
        <w:rPr>
          <w:sz w:val="24"/>
          <w:szCs w:val="24"/>
        </w:rPr>
        <w:t xml:space="preserve">на основании представления и (или) предписания соответствующего органа муниципального финансового контроля - в сроки, установленные в соответствии с бюджетным законодательством Российской Федерации и муниципальными правовыми актами </w:t>
      </w:r>
      <w:proofErr w:type="spellStart"/>
      <w:r w:rsidRPr="009A1EE3">
        <w:rPr>
          <w:sz w:val="24"/>
          <w:szCs w:val="24"/>
        </w:rPr>
        <w:t>Сосновоборского</w:t>
      </w:r>
      <w:proofErr w:type="spellEnd"/>
      <w:r w:rsidRPr="009A1EE3">
        <w:rPr>
          <w:sz w:val="24"/>
          <w:szCs w:val="24"/>
        </w:rPr>
        <w:t xml:space="preserve"> городского округа.</w:t>
      </w:r>
    </w:p>
    <w:p w:rsidR="00154CAB" w:rsidRPr="009A1EE3" w:rsidRDefault="00154CAB" w:rsidP="00154CAB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1" w:name="Par118"/>
      <w:bookmarkEnd w:id="11"/>
      <w:r w:rsidRPr="009A1EE3">
        <w:rPr>
          <w:sz w:val="24"/>
          <w:szCs w:val="24"/>
        </w:rPr>
        <w:t xml:space="preserve">          17. В случае </w:t>
      </w:r>
      <w:proofErr w:type="spellStart"/>
      <w:r w:rsidRPr="009A1EE3">
        <w:rPr>
          <w:sz w:val="24"/>
          <w:szCs w:val="24"/>
        </w:rPr>
        <w:t>недостижения</w:t>
      </w:r>
      <w:proofErr w:type="spellEnd"/>
      <w:r w:rsidRPr="009A1EE3">
        <w:rPr>
          <w:sz w:val="24"/>
          <w:szCs w:val="24"/>
        </w:rPr>
        <w:t xml:space="preserve"> значений результатов, установленных Порядком, средства в объеме, пропорциональном величине </w:t>
      </w:r>
      <w:proofErr w:type="spellStart"/>
      <w:r w:rsidRPr="009A1EE3">
        <w:rPr>
          <w:sz w:val="24"/>
          <w:szCs w:val="24"/>
        </w:rPr>
        <w:t>недостижения</w:t>
      </w:r>
      <w:proofErr w:type="spellEnd"/>
      <w:r w:rsidRPr="009A1EE3">
        <w:rPr>
          <w:sz w:val="24"/>
          <w:szCs w:val="24"/>
        </w:rPr>
        <w:t xml:space="preserve"> значений результатов, подлежат возврату </w:t>
      </w:r>
      <w:proofErr w:type="gramStart"/>
      <w:r w:rsidRPr="009A1EE3">
        <w:rPr>
          <w:sz w:val="24"/>
          <w:szCs w:val="24"/>
        </w:rPr>
        <w:t>в</w:t>
      </w:r>
      <w:proofErr w:type="gramEnd"/>
      <w:r w:rsidRPr="009A1EE3">
        <w:rPr>
          <w:sz w:val="24"/>
          <w:szCs w:val="24"/>
        </w:rPr>
        <w:t xml:space="preserve"> </w:t>
      </w:r>
      <w:proofErr w:type="gramStart"/>
      <w:r w:rsidRPr="009A1EE3">
        <w:rPr>
          <w:sz w:val="24"/>
          <w:szCs w:val="24"/>
        </w:rPr>
        <w:t>местный</w:t>
      </w:r>
      <w:proofErr w:type="gramEnd"/>
      <w:r w:rsidRPr="009A1EE3">
        <w:rPr>
          <w:sz w:val="24"/>
          <w:szCs w:val="24"/>
        </w:rPr>
        <w:t xml:space="preserve"> бюджет на основании требования Учредителя - в течение 30 календарных дней со дня получения требования.</w:t>
      </w:r>
    </w:p>
    <w:p w:rsidR="00154CAB" w:rsidRPr="009A1EE3" w:rsidRDefault="00154CAB" w:rsidP="00154CAB">
      <w:pPr>
        <w:jc w:val="both"/>
        <w:rPr>
          <w:sz w:val="24"/>
          <w:szCs w:val="24"/>
        </w:rPr>
      </w:pPr>
    </w:p>
    <w:p w:rsidR="00154CAB" w:rsidRPr="009A1EE3" w:rsidRDefault="00154CAB" w:rsidP="00154CAB">
      <w:pPr>
        <w:jc w:val="both"/>
        <w:rPr>
          <w:sz w:val="24"/>
          <w:szCs w:val="24"/>
        </w:rPr>
      </w:pPr>
    </w:p>
    <w:p w:rsidR="00154CAB" w:rsidRPr="009A1EE3" w:rsidRDefault="00154CAB" w:rsidP="00154CAB">
      <w:pPr>
        <w:jc w:val="both"/>
        <w:rPr>
          <w:sz w:val="24"/>
          <w:szCs w:val="24"/>
        </w:rPr>
      </w:pPr>
    </w:p>
    <w:p w:rsidR="00154CAB" w:rsidRPr="009A1EE3" w:rsidRDefault="00154CAB" w:rsidP="00154CAB">
      <w:pPr>
        <w:jc w:val="both"/>
        <w:rPr>
          <w:sz w:val="24"/>
          <w:szCs w:val="24"/>
        </w:rPr>
      </w:pPr>
    </w:p>
    <w:p w:rsidR="00154CAB" w:rsidRPr="009A1EE3" w:rsidRDefault="00154CAB" w:rsidP="00154CAB">
      <w:pPr>
        <w:jc w:val="both"/>
        <w:rPr>
          <w:sz w:val="24"/>
          <w:szCs w:val="24"/>
        </w:rPr>
      </w:pPr>
    </w:p>
    <w:p w:rsidR="00154CAB" w:rsidRPr="009A1EE3" w:rsidRDefault="00154CAB" w:rsidP="00154CAB">
      <w:pPr>
        <w:jc w:val="both"/>
        <w:rPr>
          <w:sz w:val="24"/>
          <w:szCs w:val="24"/>
        </w:rPr>
        <w:sectPr w:rsidR="00154CAB" w:rsidRPr="009A1EE3" w:rsidSect="009A1E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426" w:left="1134" w:header="720" w:footer="720" w:gutter="0"/>
          <w:cols w:space="720"/>
        </w:sectPr>
      </w:pPr>
    </w:p>
    <w:p w:rsidR="00154CAB" w:rsidRPr="00E45AC7" w:rsidRDefault="00154CAB" w:rsidP="00154CAB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E45AC7">
        <w:rPr>
          <w:sz w:val="22"/>
          <w:szCs w:val="22"/>
        </w:rPr>
        <w:lastRenderedPageBreak/>
        <w:t>УТВЕРЖДЕНА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постановлением администрации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spellStart"/>
      <w:r w:rsidRPr="00E45AC7">
        <w:rPr>
          <w:sz w:val="22"/>
          <w:szCs w:val="22"/>
        </w:rPr>
        <w:t>Сосновоборского</w:t>
      </w:r>
      <w:proofErr w:type="spellEnd"/>
      <w:r w:rsidRPr="00E45AC7">
        <w:rPr>
          <w:sz w:val="22"/>
          <w:szCs w:val="22"/>
        </w:rPr>
        <w:t xml:space="preserve"> городского округа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от </w:t>
      </w:r>
      <w:r>
        <w:rPr>
          <w:sz w:val="22"/>
          <w:szCs w:val="22"/>
        </w:rPr>
        <w:t>05/04/2021 № 649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>(Приложение № 2)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>(ФОРМА)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>ПРИЛОЖЕНИЕ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к порядку определения объема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и условий предоставления в 2021 году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субсидии МБУ ДО «СДШИ «Балтика» из бюджета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spellStart"/>
      <w:r w:rsidRPr="00E45AC7">
        <w:rPr>
          <w:sz w:val="22"/>
          <w:szCs w:val="22"/>
        </w:rPr>
        <w:t>Сосновоборского</w:t>
      </w:r>
      <w:proofErr w:type="spellEnd"/>
      <w:r w:rsidRPr="00E45AC7">
        <w:rPr>
          <w:sz w:val="22"/>
          <w:szCs w:val="22"/>
        </w:rPr>
        <w:t xml:space="preserve"> городского округа на иные цели,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E45AC7">
        <w:rPr>
          <w:sz w:val="22"/>
          <w:szCs w:val="22"/>
        </w:rPr>
        <w:t>связанные</w:t>
      </w:r>
      <w:proofErr w:type="gramEnd"/>
      <w:r w:rsidRPr="00E45AC7">
        <w:rPr>
          <w:sz w:val="22"/>
          <w:szCs w:val="22"/>
        </w:rPr>
        <w:t xml:space="preserve"> с реализацией федерального проекта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 «Культурная среда», а именно: оснащение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МБУ ДО "СДШИ "Балтика" музыкальными 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>инструментами, оборудованием и</w:t>
      </w:r>
    </w:p>
    <w:p w:rsidR="00154CAB" w:rsidRPr="00E45AC7" w:rsidRDefault="00154CAB" w:rsidP="00154CA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 xml:space="preserve"> учебными материалами</w:t>
      </w:r>
    </w:p>
    <w:p w:rsidR="00154CAB" w:rsidRPr="00E45AC7" w:rsidRDefault="00154CAB" w:rsidP="00154CAB">
      <w:pPr>
        <w:framePr w:w="15499" w:h="481" w:hRule="exact" w:wrap="around" w:vAnchor="page" w:hAnchor="page" w:x="1045" w:y="5701"/>
        <w:widowControl w:val="0"/>
        <w:tabs>
          <w:tab w:val="right" w:pos="6988"/>
          <w:tab w:val="right" w:pos="8510"/>
          <w:tab w:val="right" w:pos="8889"/>
          <w:tab w:val="left" w:pos="15309"/>
        </w:tabs>
        <w:spacing w:line="230" w:lineRule="exact"/>
        <w:ind w:right="183"/>
        <w:jc w:val="center"/>
        <w:rPr>
          <w:b/>
          <w:spacing w:val="2"/>
          <w:sz w:val="22"/>
          <w:szCs w:val="22"/>
          <w:lang w:eastAsia="en-US"/>
        </w:rPr>
      </w:pPr>
      <w:r w:rsidRPr="00E45AC7">
        <w:rPr>
          <w:b/>
          <w:spacing w:val="2"/>
          <w:sz w:val="22"/>
          <w:szCs w:val="22"/>
          <w:lang w:eastAsia="en-US"/>
        </w:rPr>
        <w:t>Отчет</w:t>
      </w:r>
    </w:p>
    <w:p w:rsidR="00154CAB" w:rsidRPr="00E45AC7" w:rsidRDefault="00154CAB" w:rsidP="00154CAB">
      <w:pPr>
        <w:framePr w:w="15499" w:h="481" w:hRule="exact" w:wrap="around" w:vAnchor="page" w:hAnchor="page" w:x="1045" w:y="5701"/>
        <w:widowControl w:val="0"/>
        <w:tabs>
          <w:tab w:val="right" w:pos="6988"/>
          <w:tab w:val="right" w:pos="8510"/>
          <w:tab w:val="right" w:pos="8889"/>
          <w:tab w:val="left" w:pos="15309"/>
        </w:tabs>
        <w:spacing w:line="230" w:lineRule="exact"/>
        <w:ind w:right="183"/>
        <w:jc w:val="center"/>
        <w:rPr>
          <w:b/>
          <w:spacing w:val="2"/>
          <w:sz w:val="22"/>
          <w:szCs w:val="22"/>
          <w:lang w:eastAsia="en-US"/>
        </w:rPr>
      </w:pPr>
      <w:r w:rsidRPr="00E45AC7">
        <w:rPr>
          <w:b/>
          <w:spacing w:val="2"/>
          <w:sz w:val="22"/>
          <w:szCs w:val="22"/>
          <w:lang w:eastAsia="en-US"/>
        </w:rPr>
        <w:t>о расходах, источником финансового обеспечения которых является Субсидия на"__" _____20__г.</w:t>
      </w:r>
    </w:p>
    <w:p w:rsidR="00154CAB" w:rsidRPr="00E45AC7" w:rsidRDefault="00154CAB" w:rsidP="00154CAB">
      <w:pPr>
        <w:framePr w:w="6307" w:h="735" w:hRule="exact" w:wrap="around" w:vAnchor="page" w:hAnchor="page" w:x="1201" w:y="6253"/>
        <w:tabs>
          <w:tab w:val="left" w:leader="underscore" w:pos="6053"/>
        </w:tabs>
        <w:rPr>
          <w:sz w:val="22"/>
          <w:szCs w:val="22"/>
        </w:rPr>
      </w:pPr>
      <w:r w:rsidRPr="00E45AC7">
        <w:rPr>
          <w:sz w:val="22"/>
          <w:szCs w:val="22"/>
        </w:rPr>
        <w:t>Наименование Учредителя</w:t>
      </w:r>
      <w:r w:rsidRPr="00E45AC7">
        <w:rPr>
          <w:color w:val="000000"/>
          <w:spacing w:val="2"/>
          <w:sz w:val="22"/>
          <w:szCs w:val="22"/>
        </w:rPr>
        <w:tab/>
      </w:r>
    </w:p>
    <w:p w:rsidR="00154CAB" w:rsidRPr="00E45AC7" w:rsidRDefault="00154CAB" w:rsidP="00154CAB">
      <w:pPr>
        <w:framePr w:w="6307" w:h="735" w:hRule="exact" w:wrap="around" w:vAnchor="page" w:hAnchor="page" w:x="1201" w:y="6253"/>
        <w:tabs>
          <w:tab w:val="left" w:leader="underscore" w:pos="6115"/>
        </w:tabs>
        <w:rPr>
          <w:sz w:val="22"/>
          <w:szCs w:val="22"/>
        </w:rPr>
      </w:pPr>
      <w:r w:rsidRPr="00E45AC7">
        <w:rPr>
          <w:sz w:val="22"/>
          <w:szCs w:val="22"/>
        </w:rPr>
        <w:t>Наименование Учреждения</w:t>
      </w:r>
      <w:r w:rsidRPr="00E45AC7">
        <w:rPr>
          <w:color w:val="000000"/>
          <w:spacing w:val="2"/>
          <w:sz w:val="22"/>
          <w:szCs w:val="22"/>
        </w:rPr>
        <w:tab/>
      </w:r>
    </w:p>
    <w:p w:rsidR="00154CAB" w:rsidRPr="00E45AC7" w:rsidRDefault="00154CAB" w:rsidP="00154CAB">
      <w:pPr>
        <w:framePr w:w="6307" w:h="735" w:hRule="exact" w:wrap="around" w:vAnchor="page" w:hAnchor="page" w:x="1201" w:y="6253"/>
        <w:rPr>
          <w:sz w:val="22"/>
          <w:szCs w:val="22"/>
        </w:rPr>
      </w:pPr>
      <w:r w:rsidRPr="00E45AC7"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154CAB" w:rsidRPr="00E45AC7" w:rsidRDefault="00154CAB" w:rsidP="00154CAB">
      <w:pPr>
        <w:jc w:val="both"/>
        <w:rPr>
          <w:sz w:val="22"/>
          <w:szCs w:val="22"/>
        </w:rPr>
      </w:pPr>
    </w:p>
    <w:p w:rsidR="00154CAB" w:rsidRPr="00E45AC7" w:rsidRDefault="00154CAB" w:rsidP="00154CAB">
      <w:pPr>
        <w:framePr w:w="15499" w:h="190" w:hRule="exact" w:wrap="around" w:vAnchor="page" w:hAnchor="page" w:x="995" w:y="11277"/>
        <w:widowControl w:val="0"/>
        <w:tabs>
          <w:tab w:val="right" w:pos="451"/>
          <w:tab w:val="right" w:pos="1637"/>
          <w:tab w:val="center" w:pos="1954"/>
        </w:tabs>
        <w:spacing w:line="170" w:lineRule="exact"/>
        <w:ind w:left="120"/>
        <w:jc w:val="both"/>
        <w:rPr>
          <w:spacing w:val="2"/>
          <w:sz w:val="22"/>
          <w:szCs w:val="22"/>
          <w:lang w:eastAsia="en-US"/>
        </w:rPr>
      </w:pPr>
      <w:r w:rsidRPr="00E45AC7">
        <w:rPr>
          <w:spacing w:val="2"/>
          <w:sz w:val="22"/>
          <w:szCs w:val="22"/>
          <w:lang w:eastAsia="en-US"/>
        </w:rPr>
        <w:t>"</w:t>
      </w:r>
      <w:r w:rsidRPr="00E45AC7">
        <w:rPr>
          <w:spacing w:val="2"/>
          <w:sz w:val="22"/>
          <w:szCs w:val="22"/>
          <w:lang w:eastAsia="en-US"/>
        </w:rPr>
        <w:tab/>
        <w:t>"</w:t>
      </w:r>
      <w:r w:rsidRPr="00E45AC7">
        <w:rPr>
          <w:spacing w:val="2"/>
          <w:sz w:val="22"/>
          <w:szCs w:val="22"/>
          <w:lang w:eastAsia="en-US"/>
        </w:rPr>
        <w:tab/>
        <w:t>20</w:t>
      </w:r>
      <w:r w:rsidRPr="00E45AC7">
        <w:rPr>
          <w:spacing w:val="2"/>
          <w:sz w:val="22"/>
          <w:szCs w:val="22"/>
          <w:lang w:eastAsia="en-US"/>
        </w:rPr>
        <w:tab/>
        <w:t>г.</w:t>
      </w:r>
    </w:p>
    <w:p w:rsidR="00154CAB" w:rsidRPr="00E45AC7" w:rsidRDefault="00154CAB" w:rsidP="00154CAB">
      <w:pPr>
        <w:framePr w:w="7862" w:h="432" w:hRule="exact" w:wrap="around" w:vAnchor="page" w:hAnchor="page" w:x="925" w:y="10513"/>
        <w:tabs>
          <w:tab w:val="left" w:leader="underscore" w:pos="7800"/>
        </w:tabs>
        <w:spacing w:line="170" w:lineRule="exact"/>
        <w:rPr>
          <w:sz w:val="22"/>
          <w:szCs w:val="22"/>
        </w:rPr>
      </w:pPr>
      <w:r w:rsidRPr="00E45AC7">
        <w:rPr>
          <w:sz w:val="22"/>
          <w:szCs w:val="22"/>
        </w:rPr>
        <w:t>Руководитель (уполномоченное лицо)</w:t>
      </w:r>
      <w:r w:rsidRPr="00E45AC7">
        <w:rPr>
          <w:color w:val="000000"/>
          <w:spacing w:val="2"/>
          <w:sz w:val="22"/>
          <w:szCs w:val="22"/>
        </w:rPr>
        <w:tab/>
      </w:r>
    </w:p>
    <w:p w:rsidR="00154CAB" w:rsidRPr="00E45AC7" w:rsidRDefault="00154CAB" w:rsidP="00154CAB">
      <w:pPr>
        <w:framePr w:w="7862" w:h="432" w:hRule="exact" w:wrap="around" w:vAnchor="page" w:hAnchor="page" w:x="925" w:y="10513"/>
        <w:spacing w:line="170" w:lineRule="exact"/>
        <w:ind w:right="40"/>
        <w:jc w:val="right"/>
        <w:rPr>
          <w:sz w:val="22"/>
          <w:szCs w:val="22"/>
        </w:rPr>
      </w:pPr>
      <w:r w:rsidRPr="00E45AC7">
        <w:rPr>
          <w:sz w:val="22"/>
          <w:szCs w:val="22"/>
        </w:rPr>
        <w:t>(должность) (подпись) (расшифровка подписи)</w:t>
      </w:r>
    </w:p>
    <w:tbl>
      <w:tblPr>
        <w:tblW w:w="15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59"/>
        <w:gridCol w:w="1133"/>
        <w:gridCol w:w="998"/>
        <w:gridCol w:w="1133"/>
        <w:gridCol w:w="1138"/>
        <w:gridCol w:w="1286"/>
        <w:gridCol w:w="1142"/>
        <w:gridCol w:w="1138"/>
        <w:gridCol w:w="998"/>
        <w:gridCol w:w="917"/>
        <w:gridCol w:w="897"/>
        <w:gridCol w:w="1085"/>
        <w:gridCol w:w="730"/>
      </w:tblGrid>
      <w:tr w:rsidR="00154CAB" w:rsidRPr="00E45AC7" w:rsidTr="00463CCB">
        <w:trPr>
          <w:trHeight w:hRule="exact" w:val="72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Субсидия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КБК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ind w:left="300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Остаток Субсидии на начало текущего финансового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Поступления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Выплаты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Курсова</w:t>
            </w:r>
            <w:proofErr w:type="spellEnd"/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я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разница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Остаток Субсидии на конец отчетного периода</w:t>
            </w:r>
          </w:p>
        </w:tc>
      </w:tr>
      <w:tr w:rsidR="00154CAB" w:rsidRPr="00E45AC7" w:rsidTr="00463CCB">
        <w:trPr>
          <w:trHeight w:hRule="exact" w:val="45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из них, </w:t>
            </w:r>
            <w:proofErr w:type="gram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разрешен</w:t>
            </w:r>
            <w:proofErr w:type="gramEnd"/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ный</w:t>
            </w:r>
            <w:proofErr w:type="spellEnd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 к </w:t>
            </w:r>
            <w:proofErr w:type="spellStart"/>
            <w:proofErr w:type="gram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использов</w:t>
            </w:r>
            <w:proofErr w:type="spellEnd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анию</w:t>
            </w:r>
            <w:proofErr w:type="spellEnd"/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всего,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 том числе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из местного бюджета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возврат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дебиторск</w:t>
            </w:r>
            <w:proofErr w:type="spellEnd"/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gram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ой</w:t>
            </w:r>
            <w:proofErr w:type="gramEnd"/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задолженн</w:t>
            </w:r>
            <w:proofErr w:type="spellEnd"/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ости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прошлых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из них: </w:t>
            </w:r>
            <w:proofErr w:type="spellStart"/>
            <w:proofErr w:type="gram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возвращ</w:t>
            </w:r>
            <w:proofErr w:type="spellEnd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ено</w:t>
            </w:r>
            <w:proofErr w:type="spellEnd"/>
            <w:proofErr w:type="gramEnd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 в местный бюджет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 том числе:</w:t>
            </w:r>
          </w:p>
        </w:tc>
      </w:tr>
      <w:tr w:rsidR="00154CAB" w:rsidRPr="00E45AC7" w:rsidTr="00463CCB">
        <w:trPr>
          <w:trHeight w:hRule="exact" w:val="965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требуется в </w:t>
            </w:r>
            <w:proofErr w:type="spellStart"/>
            <w:proofErr w:type="gram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направ</w:t>
            </w:r>
            <w:proofErr w:type="spellEnd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лении</w:t>
            </w:r>
            <w:proofErr w:type="spellEnd"/>
            <w:proofErr w:type="gramEnd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 xml:space="preserve"> на те же цели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подле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жит</w:t>
            </w:r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spell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возвр</w:t>
            </w:r>
            <w:proofErr w:type="spellEnd"/>
          </w:p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proofErr w:type="gramStart"/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ату</w:t>
            </w:r>
            <w:proofErr w:type="gramEnd"/>
          </w:p>
        </w:tc>
      </w:tr>
      <w:tr w:rsidR="00154CAB" w:rsidRPr="00E45AC7" w:rsidTr="00463CCB">
        <w:trPr>
          <w:trHeight w:hRule="exact" w:val="3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CAB" w:rsidRPr="00ED257C" w:rsidRDefault="00154CAB" w:rsidP="00463CCB">
            <w:pPr>
              <w:widowControl w:val="0"/>
              <w:jc w:val="center"/>
              <w:rPr>
                <w:color w:val="000000"/>
                <w:spacing w:val="2"/>
                <w:sz w:val="18"/>
                <w:szCs w:val="18"/>
                <w:lang w:bidi="ru-RU"/>
              </w:rPr>
            </w:pPr>
            <w:r w:rsidRPr="00ED257C">
              <w:rPr>
                <w:bCs/>
                <w:color w:val="000000"/>
                <w:spacing w:val="3"/>
                <w:sz w:val="18"/>
                <w:szCs w:val="18"/>
                <w:shd w:val="clear" w:color="auto" w:fill="FFFFFF"/>
                <w:lang w:bidi="ru-RU"/>
              </w:rPr>
              <w:t>14</w:t>
            </w:r>
          </w:p>
        </w:tc>
      </w:tr>
      <w:tr w:rsidR="00154CAB" w:rsidRPr="00E45AC7" w:rsidTr="00463CCB">
        <w:trPr>
          <w:trHeight w:hRule="exact" w:val="2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CAB" w:rsidRPr="00E45AC7" w:rsidRDefault="00154CAB" w:rsidP="00463CCB">
            <w:pPr>
              <w:rPr>
                <w:sz w:val="22"/>
                <w:szCs w:val="22"/>
              </w:rPr>
            </w:pPr>
          </w:p>
        </w:tc>
      </w:tr>
    </w:tbl>
    <w:p w:rsidR="00154CAB" w:rsidRDefault="00154CAB" w:rsidP="00154CAB">
      <w:pPr>
        <w:jc w:val="both"/>
        <w:rPr>
          <w:sz w:val="4"/>
          <w:szCs w:val="4"/>
        </w:rPr>
      </w:pPr>
    </w:p>
    <w:p w:rsidR="00154CAB" w:rsidRPr="00ED257C" w:rsidRDefault="00154CAB" w:rsidP="00154CAB">
      <w:pPr>
        <w:jc w:val="both"/>
        <w:rPr>
          <w:sz w:val="4"/>
          <w:szCs w:val="4"/>
        </w:rPr>
      </w:pPr>
    </w:p>
    <w:p w:rsidR="00154CAB" w:rsidRDefault="00154CAB" w:rsidP="00154CAB"/>
    <w:p w:rsidR="00986B56" w:rsidRDefault="00986B56"/>
    <w:sectPr w:rsidR="00986B56" w:rsidSect="00E45AC7">
      <w:headerReference w:type="default" r:id="rId16"/>
      <w:pgSz w:w="16838" w:h="11906" w:orient="landscape"/>
      <w:pgMar w:top="1701" w:right="1134" w:bottom="567" w:left="4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28" w:rsidRDefault="00952C28" w:rsidP="00154CAB">
      <w:r>
        <w:separator/>
      </w:r>
    </w:p>
  </w:endnote>
  <w:endnote w:type="continuationSeparator" w:id="0">
    <w:p w:rsidR="00952C28" w:rsidRDefault="00952C28" w:rsidP="0015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AB" w:rsidRDefault="00154C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AB" w:rsidRDefault="00154C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AB" w:rsidRDefault="00154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28" w:rsidRDefault="00952C28" w:rsidP="00154CAB">
      <w:r>
        <w:separator/>
      </w:r>
    </w:p>
  </w:footnote>
  <w:footnote w:type="continuationSeparator" w:id="0">
    <w:p w:rsidR="00952C28" w:rsidRDefault="00952C28" w:rsidP="00154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AB" w:rsidRDefault="00154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C7" w:rsidRDefault="00952C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AB" w:rsidRDefault="00154CA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52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adaf1e-3bbd-4633-97cd-0b19f2fe3168"/>
  </w:docVars>
  <w:rsids>
    <w:rsidRoot w:val="00154CA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4CAB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52C28"/>
    <w:rsid w:val="00965960"/>
    <w:rsid w:val="009808AA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429F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97F8F"/>
    <w:rsid w:val="00EA1CBD"/>
    <w:rsid w:val="00EA7161"/>
    <w:rsid w:val="00EB7828"/>
    <w:rsid w:val="00EC0342"/>
    <w:rsid w:val="00EC1329"/>
    <w:rsid w:val="00EC2DE8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CA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CA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4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4CA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CA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4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ACCE8CF4B3BF7A145985A60CAB84F7EFF06830DA0300734C899555E7D66B79ECA7F11161171A14961C0730CA03C87B35D91507D9CD0U3I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ACCE8CF4B3BF7A145985A60CAB84F7EFF06830DA0300734C899555E7D66B79ECA7F13171672A81A3BD07745F7369BB5428E53639C03EDD6U6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2021-04-07T10:12:00Z</dcterms:created>
  <dcterms:modified xsi:type="dcterms:W3CDTF">2021-04-07T10:16:00Z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c9adaf1e-3bbd-4633-97cd-0b19f2fe3168</vt:lpwstr>
  </property>
</Properties>
</file>