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C4DD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C4DD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AA2153" w:rsidRDefault="00AA2153" w:rsidP="00AA2153">
      <w:pPr>
        <w:rPr>
          <w:sz w:val="24"/>
        </w:rPr>
      </w:pPr>
      <w:r>
        <w:rPr>
          <w:sz w:val="24"/>
        </w:rPr>
        <w:t xml:space="preserve">                                                      от 27/02/2026 № 576</w:t>
      </w:r>
    </w:p>
    <w:p w:rsidR="00EA7204" w:rsidRPr="00576512" w:rsidRDefault="00EA7204" w:rsidP="00EA7204">
      <w:pPr>
        <w:tabs>
          <w:tab w:val="left" w:pos="851"/>
        </w:tabs>
        <w:rPr>
          <w:b/>
          <w:sz w:val="32"/>
          <w:szCs w:val="32"/>
        </w:rPr>
      </w:pPr>
    </w:p>
    <w:p w:rsidR="00EA7204" w:rsidRPr="00DB0E6B" w:rsidRDefault="00EA7204" w:rsidP="00EA7204">
      <w:pPr>
        <w:tabs>
          <w:tab w:val="left" w:pos="5954"/>
        </w:tabs>
        <w:ind w:right="3401"/>
        <w:contextualSpacing/>
        <w:jc w:val="both"/>
        <w:rPr>
          <w:bCs/>
          <w:sz w:val="24"/>
          <w:szCs w:val="24"/>
        </w:rPr>
      </w:pPr>
      <w:proofErr w:type="gramStart"/>
      <w:r w:rsidRPr="00DB0E6B">
        <w:rPr>
          <w:bCs/>
          <w:sz w:val="24"/>
          <w:szCs w:val="24"/>
        </w:rPr>
        <w:t xml:space="preserve">О внесении изменений </w:t>
      </w:r>
      <w:r w:rsidRPr="006D0FB8">
        <w:rPr>
          <w:sz w:val="24"/>
          <w:szCs w:val="24"/>
        </w:rPr>
        <w:t xml:space="preserve">в постановление администрации муниципального образования Сосновоборского городского округа Ленинградской области от </w:t>
      </w:r>
      <w:r>
        <w:rPr>
          <w:sz w:val="24"/>
          <w:szCs w:val="24"/>
        </w:rPr>
        <w:t>03.03.2025</w:t>
      </w:r>
      <w:r w:rsidRPr="006D0FB8">
        <w:rPr>
          <w:sz w:val="24"/>
          <w:szCs w:val="24"/>
        </w:rPr>
        <w:t xml:space="preserve"> № </w:t>
      </w:r>
      <w:r>
        <w:rPr>
          <w:sz w:val="24"/>
          <w:szCs w:val="24"/>
        </w:rPr>
        <w:t>599</w:t>
      </w:r>
      <w:r w:rsidRPr="006D0FB8">
        <w:rPr>
          <w:sz w:val="24"/>
          <w:szCs w:val="24"/>
        </w:rPr>
        <w:t xml:space="preserve"> «</w:t>
      </w:r>
      <w:r w:rsidRPr="00F53A76">
        <w:rPr>
          <w:sz w:val="24"/>
          <w:szCs w:val="24"/>
        </w:rPr>
        <w:t>Об утверждении Порядка предоставления субсидий из бюджета Сосновоборского городского округа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 и положения</w:t>
      </w:r>
      <w:proofErr w:type="gramEnd"/>
      <w:r w:rsidRPr="00F53A76">
        <w:rPr>
          <w:sz w:val="24"/>
          <w:szCs w:val="24"/>
        </w:rPr>
        <w:t xml:space="preserve"> о комиссии по рассмотрению заявок на предоставление субсидий и ее составе</w:t>
      </w:r>
      <w:r w:rsidRPr="006D0FB8">
        <w:rPr>
          <w:sz w:val="24"/>
          <w:szCs w:val="24"/>
        </w:rPr>
        <w:t>»</w:t>
      </w:r>
      <w:r w:rsidRPr="00DB0E6B">
        <w:rPr>
          <w:bCs/>
          <w:sz w:val="24"/>
          <w:szCs w:val="24"/>
        </w:rPr>
        <w:tab/>
      </w:r>
    </w:p>
    <w:p w:rsidR="00EA7204" w:rsidRDefault="00EA7204" w:rsidP="00EA7204">
      <w:pPr>
        <w:ind w:firstLine="709"/>
        <w:jc w:val="both"/>
        <w:rPr>
          <w:szCs w:val="28"/>
        </w:rPr>
      </w:pPr>
    </w:p>
    <w:p w:rsidR="00EA7204" w:rsidRDefault="00EA7204" w:rsidP="00EA7204">
      <w:pPr>
        <w:ind w:firstLine="709"/>
        <w:jc w:val="both"/>
        <w:rPr>
          <w:sz w:val="24"/>
          <w:szCs w:val="24"/>
        </w:rPr>
      </w:pPr>
    </w:p>
    <w:p w:rsidR="00EA7204" w:rsidRPr="006D0FB8" w:rsidRDefault="00EA7204" w:rsidP="00EA7204">
      <w:pPr>
        <w:ind w:firstLine="709"/>
        <w:jc w:val="both"/>
        <w:rPr>
          <w:sz w:val="24"/>
          <w:szCs w:val="24"/>
        </w:rPr>
      </w:pPr>
    </w:p>
    <w:p w:rsidR="00EA7204" w:rsidRPr="006D0FB8" w:rsidRDefault="00EA7204" w:rsidP="00EA7204">
      <w:pPr>
        <w:ind w:firstLine="709"/>
        <w:jc w:val="both"/>
        <w:rPr>
          <w:sz w:val="24"/>
          <w:szCs w:val="24"/>
        </w:rPr>
      </w:pPr>
      <w:proofErr w:type="gramStart"/>
      <w:r w:rsidRPr="00F53A76">
        <w:rPr>
          <w:sz w:val="24"/>
          <w:szCs w:val="24"/>
        </w:rPr>
        <w:t xml:space="preserve">В соответствии с областным законом Ленинградской области </w:t>
      </w:r>
      <w:r>
        <w:rPr>
          <w:sz w:val="24"/>
          <w:szCs w:val="24"/>
        </w:rPr>
        <w:t>от 12.11.2025 № 133-оз «О</w:t>
      </w:r>
      <w:r w:rsidRPr="00F53A76">
        <w:rPr>
          <w:sz w:val="24"/>
          <w:szCs w:val="24"/>
        </w:rPr>
        <w:t xml:space="preserve"> внесении изменений в статью 10 областного закона</w:t>
      </w:r>
      <w:r>
        <w:rPr>
          <w:sz w:val="24"/>
          <w:szCs w:val="24"/>
        </w:rPr>
        <w:t xml:space="preserve"> «О</w:t>
      </w:r>
      <w:r w:rsidRPr="00F53A76">
        <w:rPr>
          <w:sz w:val="24"/>
          <w:szCs w:val="24"/>
        </w:rPr>
        <w:t xml:space="preserve"> дополнительных социальных гарантиях и стандартах</w:t>
      </w:r>
      <w:r>
        <w:rPr>
          <w:sz w:val="24"/>
          <w:szCs w:val="24"/>
        </w:rPr>
        <w:t xml:space="preserve"> </w:t>
      </w:r>
      <w:r w:rsidRPr="00F53A76">
        <w:rPr>
          <w:sz w:val="24"/>
          <w:szCs w:val="24"/>
        </w:rPr>
        <w:t xml:space="preserve">в </w:t>
      </w:r>
      <w:r>
        <w:rPr>
          <w:sz w:val="24"/>
          <w:szCs w:val="24"/>
        </w:rPr>
        <w:t>Л</w:t>
      </w:r>
      <w:r w:rsidRPr="00F53A76">
        <w:rPr>
          <w:sz w:val="24"/>
          <w:szCs w:val="24"/>
        </w:rPr>
        <w:t>енинградской области</w:t>
      </w:r>
      <w:r>
        <w:rPr>
          <w:sz w:val="24"/>
          <w:szCs w:val="24"/>
        </w:rPr>
        <w:t>»</w:t>
      </w:r>
      <w:r w:rsidRPr="00F53A76">
        <w:rPr>
          <w:sz w:val="24"/>
          <w:szCs w:val="24"/>
        </w:rPr>
        <w:t xml:space="preserve"> и областной закон </w:t>
      </w:r>
      <w:r>
        <w:rPr>
          <w:sz w:val="24"/>
          <w:szCs w:val="24"/>
        </w:rPr>
        <w:t>«О</w:t>
      </w:r>
      <w:r w:rsidRPr="00F53A76">
        <w:rPr>
          <w:sz w:val="24"/>
          <w:szCs w:val="24"/>
        </w:rPr>
        <w:t xml:space="preserve"> наделении</w:t>
      </w:r>
      <w:r>
        <w:rPr>
          <w:sz w:val="24"/>
          <w:szCs w:val="24"/>
        </w:rPr>
        <w:t xml:space="preserve"> </w:t>
      </w:r>
      <w:r w:rsidRPr="00F53A76">
        <w:rPr>
          <w:sz w:val="24"/>
          <w:szCs w:val="24"/>
        </w:rPr>
        <w:t>органов местного самоуправления муниципальных образований</w:t>
      </w:r>
      <w:r>
        <w:rPr>
          <w:sz w:val="24"/>
          <w:szCs w:val="24"/>
        </w:rPr>
        <w:t xml:space="preserve"> Л</w:t>
      </w:r>
      <w:r w:rsidRPr="00F53A76">
        <w:rPr>
          <w:sz w:val="24"/>
          <w:szCs w:val="24"/>
        </w:rPr>
        <w:t>енинградской области отдельным государственным полномочием</w:t>
      </w:r>
      <w:r>
        <w:rPr>
          <w:sz w:val="24"/>
          <w:szCs w:val="24"/>
        </w:rPr>
        <w:t xml:space="preserve"> </w:t>
      </w:r>
      <w:r w:rsidRPr="00F53A76">
        <w:rPr>
          <w:sz w:val="24"/>
          <w:szCs w:val="24"/>
        </w:rPr>
        <w:t>ленинградской области по предоставлению субсидий юридическим</w:t>
      </w:r>
      <w:r>
        <w:rPr>
          <w:sz w:val="24"/>
          <w:szCs w:val="24"/>
        </w:rPr>
        <w:t xml:space="preserve"> </w:t>
      </w:r>
      <w:r w:rsidRPr="00F53A76">
        <w:rPr>
          <w:sz w:val="24"/>
          <w:szCs w:val="24"/>
        </w:rPr>
        <w:t>лицам (за исключением государственных (муниципальных)</w:t>
      </w:r>
      <w:r>
        <w:rPr>
          <w:sz w:val="24"/>
          <w:szCs w:val="24"/>
        </w:rPr>
        <w:t xml:space="preserve"> </w:t>
      </w:r>
      <w:r w:rsidRPr="00F53A76">
        <w:rPr>
          <w:sz w:val="24"/>
          <w:szCs w:val="24"/>
        </w:rPr>
        <w:t>учреждений), индивидуальным предпринимателям, реализующим</w:t>
      </w:r>
      <w:r>
        <w:rPr>
          <w:sz w:val="24"/>
          <w:szCs w:val="24"/>
        </w:rPr>
        <w:t xml:space="preserve"> </w:t>
      </w:r>
      <w:r w:rsidRPr="00F53A76">
        <w:rPr>
          <w:sz w:val="24"/>
          <w:szCs w:val="24"/>
        </w:rPr>
        <w:t>образовательные программы дошкольного</w:t>
      </w:r>
      <w:proofErr w:type="gramEnd"/>
      <w:r w:rsidRPr="00F53A76">
        <w:rPr>
          <w:sz w:val="24"/>
          <w:szCs w:val="24"/>
        </w:rPr>
        <w:t xml:space="preserve"> образования, в целях</w:t>
      </w:r>
      <w:r>
        <w:rPr>
          <w:sz w:val="24"/>
          <w:szCs w:val="24"/>
        </w:rPr>
        <w:t xml:space="preserve"> </w:t>
      </w:r>
      <w:r w:rsidRPr="00F53A76">
        <w:rPr>
          <w:sz w:val="24"/>
          <w:szCs w:val="24"/>
        </w:rPr>
        <w:t>возмещения части затрат, связанных с содержанием имущества</w:t>
      </w:r>
      <w:r>
        <w:rPr>
          <w:sz w:val="24"/>
          <w:szCs w:val="24"/>
        </w:rPr>
        <w:t xml:space="preserve"> </w:t>
      </w:r>
      <w:r w:rsidRPr="00F53A76">
        <w:rPr>
          <w:sz w:val="24"/>
          <w:szCs w:val="24"/>
        </w:rPr>
        <w:t>и оказанием услуг по присмотру и уходу за детьми</w:t>
      </w:r>
      <w:r>
        <w:rPr>
          <w:sz w:val="24"/>
          <w:szCs w:val="24"/>
        </w:rPr>
        <w:t xml:space="preserve">» </w:t>
      </w:r>
      <w:r w:rsidRPr="006D0FB8">
        <w:rPr>
          <w:sz w:val="24"/>
          <w:szCs w:val="24"/>
        </w:rPr>
        <w:t xml:space="preserve">администрация Сосновоборского городского округа   </w:t>
      </w:r>
      <w:proofErr w:type="gramStart"/>
      <w:r w:rsidRPr="006D0FB8">
        <w:rPr>
          <w:b/>
          <w:sz w:val="24"/>
          <w:szCs w:val="24"/>
        </w:rPr>
        <w:t>п</w:t>
      </w:r>
      <w:proofErr w:type="gramEnd"/>
      <w:r w:rsidRPr="006D0FB8">
        <w:rPr>
          <w:b/>
          <w:sz w:val="24"/>
          <w:szCs w:val="24"/>
        </w:rPr>
        <w:t xml:space="preserve"> о с т а н о в л я е т</w:t>
      </w:r>
      <w:r w:rsidRPr="006D0FB8">
        <w:rPr>
          <w:sz w:val="24"/>
          <w:szCs w:val="24"/>
        </w:rPr>
        <w:t xml:space="preserve"> :</w:t>
      </w:r>
    </w:p>
    <w:p w:rsidR="00EA7204" w:rsidRPr="00E23D7C" w:rsidRDefault="00EA7204" w:rsidP="00EA7204">
      <w:pPr>
        <w:ind w:firstLine="709"/>
        <w:jc w:val="both"/>
        <w:rPr>
          <w:szCs w:val="28"/>
        </w:rPr>
      </w:pPr>
    </w:p>
    <w:p w:rsidR="00EA7204" w:rsidRPr="006D0FB8" w:rsidRDefault="00EA7204" w:rsidP="00EA720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D0FB8">
        <w:rPr>
          <w:sz w:val="24"/>
          <w:szCs w:val="24"/>
        </w:rPr>
        <w:t xml:space="preserve">1. </w:t>
      </w:r>
      <w:proofErr w:type="gramStart"/>
      <w:r w:rsidRPr="006D0FB8">
        <w:rPr>
          <w:sz w:val="24"/>
          <w:szCs w:val="24"/>
        </w:rPr>
        <w:t xml:space="preserve">Утвердить прилагаемые изменения, которые вносятся в постановление администрации муниципального образования Сосновоборского городского округа Ленинградской области от </w:t>
      </w:r>
      <w:r w:rsidRPr="00F53A76">
        <w:rPr>
          <w:sz w:val="24"/>
          <w:szCs w:val="24"/>
        </w:rPr>
        <w:t xml:space="preserve">03.03.2025 № 599 «Об утверждении Порядка предоставления субсидий из бюджета Сосновоборского городского округа юридическим лицам </w:t>
      </w:r>
      <w:r>
        <w:rPr>
          <w:sz w:val="24"/>
          <w:szCs w:val="24"/>
        </w:rPr>
        <w:t xml:space="preserve">                               </w:t>
      </w:r>
      <w:r w:rsidRPr="00F53A76">
        <w:rPr>
          <w:sz w:val="24"/>
          <w:szCs w:val="24"/>
        </w:rPr>
        <w:t>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</w:r>
      <w:proofErr w:type="gramEnd"/>
      <w:r w:rsidRPr="00F53A76">
        <w:rPr>
          <w:sz w:val="24"/>
          <w:szCs w:val="24"/>
        </w:rPr>
        <w:t xml:space="preserve"> и положения о комиссии по рассмотрению заявок на предоставление субсидий и ее составе</w:t>
      </w:r>
      <w:r>
        <w:rPr>
          <w:sz w:val="24"/>
          <w:szCs w:val="24"/>
        </w:rPr>
        <w:t>»</w:t>
      </w:r>
      <w:r w:rsidRPr="006D0FB8">
        <w:rPr>
          <w:sz w:val="24"/>
          <w:szCs w:val="24"/>
        </w:rPr>
        <w:t>.</w:t>
      </w:r>
    </w:p>
    <w:p w:rsidR="00EA7204" w:rsidRDefault="00EA7204" w:rsidP="00EA720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A7204" w:rsidRPr="007839E3" w:rsidRDefault="00EA7204" w:rsidP="00EA7204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839E3">
        <w:rPr>
          <w:sz w:val="24"/>
          <w:szCs w:val="24"/>
        </w:rPr>
        <w:t xml:space="preserve">. Отделу по связям с общественностью (пресс-центр) </w:t>
      </w:r>
      <w:proofErr w:type="gramStart"/>
      <w:r w:rsidRPr="007839E3">
        <w:rPr>
          <w:sz w:val="24"/>
          <w:szCs w:val="24"/>
        </w:rPr>
        <w:t>разместить</w:t>
      </w:r>
      <w:proofErr w:type="gramEnd"/>
      <w:r w:rsidRPr="007839E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A7204" w:rsidRDefault="00EA7204" w:rsidP="00EA7204">
      <w:pPr>
        <w:ind w:firstLine="709"/>
        <w:contextualSpacing/>
        <w:jc w:val="both"/>
        <w:rPr>
          <w:sz w:val="24"/>
          <w:szCs w:val="24"/>
        </w:rPr>
      </w:pPr>
    </w:p>
    <w:p w:rsidR="00EA7204" w:rsidRPr="007839E3" w:rsidRDefault="00EA7204" w:rsidP="00EA720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7839E3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EA7204" w:rsidRDefault="00EA7204" w:rsidP="00EA7204">
      <w:pPr>
        <w:ind w:firstLine="709"/>
        <w:contextualSpacing/>
        <w:jc w:val="both"/>
        <w:rPr>
          <w:sz w:val="24"/>
          <w:szCs w:val="24"/>
        </w:rPr>
      </w:pPr>
    </w:p>
    <w:p w:rsidR="00EA7204" w:rsidRPr="007839E3" w:rsidRDefault="00EA7204" w:rsidP="00EA720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839E3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EA7204" w:rsidRDefault="00EA7204" w:rsidP="00EA7204">
      <w:pPr>
        <w:ind w:firstLine="709"/>
        <w:contextualSpacing/>
        <w:jc w:val="both"/>
        <w:rPr>
          <w:sz w:val="24"/>
          <w:szCs w:val="24"/>
        </w:rPr>
      </w:pPr>
    </w:p>
    <w:p w:rsidR="00EA7204" w:rsidRDefault="00EA7204" w:rsidP="00EA720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839E3">
        <w:rPr>
          <w:sz w:val="24"/>
          <w:szCs w:val="24"/>
        </w:rPr>
        <w:t xml:space="preserve">. </w:t>
      </w:r>
      <w:proofErr w:type="gramStart"/>
      <w:r w:rsidRPr="007839E3">
        <w:rPr>
          <w:sz w:val="24"/>
          <w:szCs w:val="24"/>
        </w:rPr>
        <w:t>Контроль за</w:t>
      </w:r>
      <w:proofErr w:type="gramEnd"/>
      <w:r w:rsidRPr="007839E3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EA7204" w:rsidRDefault="00EA7204" w:rsidP="00EA7204">
      <w:pPr>
        <w:ind w:firstLine="709"/>
        <w:contextualSpacing/>
        <w:jc w:val="both"/>
        <w:rPr>
          <w:sz w:val="24"/>
          <w:szCs w:val="24"/>
        </w:rPr>
      </w:pPr>
    </w:p>
    <w:p w:rsidR="00EA7204" w:rsidRDefault="00EA7204" w:rsidP="00EA7204">
      <w:pPr>
        <w:ind w:firstLine="709"/>
        <w:contextualSpacing/>
        <w:jc w:val="both"/>
        <w:rPr>
          <w:sz w:val="24"/>
          <w:szCs w:val="24"/>
        </w:rPr>
      </w:pPr>
    </w:p>
    <w:p w:rsidR="00EA7204" w:rsidRDefault="00EA7204" w:rsidP="00EA7204">
      <w:pPr>
        <w:ind w:firstLine="709"/>
        <w:contextualSpacing/>
        <w:jc w:val="both"/>
        <w:rPr>
          <w:sz w:val="24"/>
          <w:szCs w:val="24"/>
        </w:rPr>
      </w:pPr>
    </w:p>
    <w:p w:rsidR="00EA7204" w:rsidRPr="007839E3" w:rsidRDefault="00EA7204" w:rsidP="00EA72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39E3">
        <w:rPr>
          <w:sz w:val="24"/>
          <w:szCs w:val="24"/>
        </w:rPr>
        <w:t>Глава Сосновоборского городского округа</w:t>
      </w:r>
      <w:r w:rsidRPr="007839E3">
        <w:rPr>
          <w:sz w:val="24"/>
          <w:szCs w:val="24"/>
        </w:rPr>
        <w:tab/>
      </w:r>
      <w:r w:rsidRPr="007839E3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           </w:t>
      </w:r>
      <w:r w:rsidRPr="007839E3">
        <w:rPr>
          <w:sz w:val="24"/>
          <w:szCs w:val="24"/>
        </w:rPr>
        <w:t>М.В. Воронков</w:t>
      </w: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rPr>
          <w:sz w:val="12"/>
          <w:szCs w:val="16"/>
        </w:rPr>
      </w:pPr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EA7204" w:rsidRPr="007839E3" w:rsidRDefault="00EA7204" w:rsidP="00EA7204">
      <w:pPr>
        <w:ind w:left="-142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</w:t>
      </w:r>
      <w:r w:rsidRPr="007839E3">
        <w:rPr>
          <w:sz w:val="24"/>
          <w:szCs w:val="24"/>
        </w:rPr>
        <w:t>ТВЕРЖДЕНЫ</w:t>
      </w:r>
    </w:p>
    <w:p w:rsidR="00EA7204" w:rsidRPr="007839E3" w:rsidRDefault="00EA7204" w:rsidP="00EA7204">
      <w:pPr>
        <w:ind w:left="-142"/>
        <w:contextualSpacing/>
        <w:jc w:val="right"/>
        <w:rPr>
          <w:sz w:val="24"/>
          <w:szCs w:val="24"/>
        </w:rPr>
      </w:pPr>
      <w:r w:rsidRPr="007839E3">
        <w:rPr>
          <w:sz w:val="24"/>
          <w:szCs w:val="24"/>
        </w:rPr>
        <w:t>постановлением администрации</w:t>
      </w:r>
    </w:p>
    <w:p w:rsidR="00EA7204" w:rsidRPr="007839E3" w:rsidRDefault="00EA7204" w:rsidP="00EA7204">
      <w:pPr>
        <w:tabs>
          <w:tab w:val="left" w:pos="0"/>
        </w:tabs>
        <w:ind w:left="-142"/>
        <w:contextualSpacing/>
        <w:jc w:val="right"/>
        <w:rPr>
          <w:sz w:val="24"/>
          <w:szCs w:val="24"/>
        </w:rPr>
      </w:pPr>
      <w:r w:rsidRPr="007839E3">
        <w:rPr>
          <w:sz w:val="24"/>
          <w:szCs w:val="24"/>
        </w:rPr>
        <w:t>Сосновоборского городского округа</w:t>
      </w:r>
    </w:p>
    <w:p w:rsidR="00EA7204" w:rsidRPr="007839E3" w:rsidRDefault="00EA7204" w:rsidP="00EA7204">
      <w:pPr>
        <w:ind w:left="-142"/>
        <w:contextualSpacing/>
        <w:jc w:val="right"/>
        <w:rPr>
          <w:sz w:val="24"/>
        </w:rPr>
      </w:pPr>
      <w:r w:rsidRPr="007839E3">
        <w:rPr>
          <w:sz w:val="24"/>
          <w:szCs w:val="24"/>
        </w:rPr>
        <w:t xml:space="preserve">                      от </w:t>
      </w:r>
      <w:r w:rsidR="00AA2153">
        <w:rPr>
          <w:sz w:val="24"/>
          <w:szCs w:val="24"/>
        </w:rPr>
        <w:t>27/02/2026 № 576</w:t>
      </w:r>
    </w:p>
    <w:p w:rsidR="00EA7204" w:rsidRPr="007839E3" w:rsidRDefault="00EA7204" w:rsidP="00EA7204">
      <w:pPr>
        <w:ind w:left="-142"/>
        <w:contextualSpacing/>
        <w:jc w:val="right"/>
        <w:rPr>
          <w:sz w:val="24"/>
        </w:rPr>
      </w:pPr>
    </w:p>
    <w:p w:rsidR="00EA7204" w:rsidRPr="007839E3" w:rsidRDefault="00EA7204" w:rsidP="00EA7204">
      <w:pPr>
        <w:ind w:left="-142"/>
        <w:contextualSpacing/>
        <w:jc w:val="right"/>
        <w:rPr>
          <w:sz w:val="24"/>
          <w:szCs w:val="24"/>
        </w:rPr>
      </w:pPr>
      <w:r w:rsidRPr="007839E3">
        <w:rPr>
          <w:sz w:val="24"/>
        </w:rPr>
        <w:t>(Приложение)</w:t>
      </w:r>
    </w:p>
    <w:p w:rsidR="00EA7204" w:rsidRPr="007839E3" w:rsidRDefault="00EA7204" w:rsidP="00EA7204">
      <w:pPr>
        <w:contextualSpacing/>
        <w:jc w:val="center"/>
        <w:rPr>
          <w:b/>
          <w:sz w:val="24"/>
          <w:szCs w:val="24"/>
        </w:rPr>
      </w:pPr>
    </w:p>
    <w:p w:rsidR="00EA7204" w:rsidRPr="007839E3" w:rsidRDefault="00EA7204" w:rsidP="00EA7204">
      <w:pPr>
        <w:contextualSpacing/>
        <w:jc w:val="center"/>
        <w:rPr>
          <w:b/>
          <w:sz w:val="24"/>
          <w:szCs w:val="24"/>
        </w:rPr>
      </w:pPr>
    </w:p>
    <w:p w:rsidR="00EA7204" w:rsidRPr="007839E3" w:rsidRDefault="00EA7204" w:rsidP="00EA7204">
      <w:pPr>
        <w:ind w:firstLine="708"/>
        <w:contextualSpacing/>
        <w:jc w:val="center"/>
        <w:rPr>
          <w:sz w:val="24"/>
          <w:szCs w:val="24"/>
        </w:rPr>
      </w:pPr>
      <w:r w:rsidRPr="007839E3">
        <w:rPr>
          <w:sz w:val="24"/>
          <w:szCs w:val="24"/>
        </w:rPr>
        <w:t>Изменения,</w:t>
      </w:r>
    </w:p>
    <w:p w:rsidR="00EA7204" w:rsidRDefault="00EA7204" w:rsidP="00EA7204">
      <w:pPr>
        <w:contextualSpacing/>
        <w:jc w:val="center"/>
        <w:rPr>
          <w:sz w:val="24"/>
          <w:szCs w:val="24"/>
        </w:rPr>
      </w:pPr>
      <w:r w:rsidRPr="007839E3">
        <w:rPr>
          <w:sz w:val="24"/>
          <w:szCs w:val="24"/>
        </w:rPr>
        <w:t>которые вносятся в постановление администрации постановление</w:t>
      </w:r>
      <w:r>
        <w:rPr>
          <w:sz w:val="24"/>
          <w:szCs w:val="24"/>
        </w:rPr>
        <w:t xml:space="preserve"> </w:t>
      </w:r>
      <w:r w:rsidRPr="006D0FB8">
        <w:rPr>
          <w:sz w:val="24"/>
          <w:szCs w:val="24"/>
        </w:rPr>
        <w:t xml:space="preserve">муниципального образования Сосновоборского городского округа Ленинградской области </w:t>
      </w:r>
    </w:p>
    <w:p w:rsidR="00EA7204" w:rsidRPr="006D0FB8" w:rsidRDefault="00EA7204" w:rsidP="00EA7204">
      <w:pPr>
        <w:contextualSpacing/>
        <w:jc w:val="center"/>
        <w:rPr>
          <w:sz w:val="24"/>
          <w:szCs w:val="24"/>
        </w:rPr>
      </w:pPr>
      <w:proofErr w:type="gramStart"/>
      <w:r w:rsidRPr="006D0FB8">
        <w:rPr>
          <w:sz w:val="24"/>
          <w:szCs w:val="24"/>
        </w:rPr>
        <w:t xml:space="preserve">от </w:t>
      </w:r>
      <w:r w:rsidRPr="00F53A76">
        <w:rPr>
          <w:sz w:val="24"/>
          <w:szCs w:val="24"/>
        </w:rPr>
        <w:t>03.03.2025 № 599 «Об утверждении Порядка предоставления субсидий из бюджета Сосновоборского городского округа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 и положения о комиссии по рассмотрению заявок на предоставление субсидий и ее составе»</w:t>
      </w:r>
      <w:proofErr w:type="gramEnd"/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EA7204" w:rsidRDefault="00EA7204" w:rsidP="00EA7204">
      <w:pPr>
        <w:ind w:firstLine="709"/>
        <w:jc w:val="both"/>
        <w:rPr>
          <w:sz w:val="24"/>
          <w:szCs w:val="24"/>
        </w:rPr>
      </w:pPr>
      <w:r w:rsidRPr="00536A72"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 </w:t>
      </w:r>
      <w:r w:rsidRPr="00F53A76">
        <w:rPr>
          <w:sz w:val="24"/>
          <w:szCs w:val="24"/>
        </w:rPr>
        <w:t>Поряд</w:t>
      </w:r>
      <w:r>
        <w:rPr>
          <w:sz w:val="24"/>
          <w:szCs w:val="24"/>
        </w:rPr>
        <w:t>ке</w:t>
      </w:r>
      <w:r w:rsidRPr="00F53A76">
        <w:rPr>
          <w:sz w:val="24"/>
          <w:szCs w:val="24"/>
        </w:rPr>
        <w:t xml:space="preserve"> предоставления субсидий из бюджета Сосновоборского городского округа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</w:r>
      <w:r>
        <w:rPr>
          <w:sz w:val="24"/>
          <w:szCs w:val="24"/>
        </w:rPr>
        <w:t xml:space="preserve">, утвержденном постановлением </w:t>
      </w:r>
      <w:r w:rsidRPr="006D0FB8">
        <w:rPr>
          <w:sz w:val="24"/>
          <w:szCs w:val="24"/>
        </w:rPr>
        <w:t xml:space="preserve">администрации муниципального образования Сосновоборского городского округа Ленинградской области от </w:t>
      </w:r>
      <w:r>
        <w:rPr>
          <w:sz w:val="24"/>
          <w:szCs w:val="24"/>
        </w:rPr>
        <w:t>03.03.2025</w:t>
      </w:r>
      <w:r w:rsidRPr="006D0FB8">
        <w:rPr>
          <w:sz w:val="24"/>
          <w:szCs w:val="24"/>
        </w:rPr>
        <w:t xml:space="preserve"> № </w:t>
      </w:r>
      <w:r>
        <w:rPr>
          <w:sz w:val="24"/>
          <w:szCs w:val="24"/>
        </w:rPr>
        <w:t>599:</w:t>
      </w:r>
      <w:proofErr w:type="gramEnd"/>
    </w:p>
    <w:p w:rsidR="00EA7204" w:rsidRDefault="00EA7204" w:rsidP="00EA7204">
      <w:pPr>
        <w:ind w:firstLine="709"/>
        <w:jc w:val="both"/>
        <w:rPr>
          <w:bCs/>
          <w:sz w:val="24"/>
          <w:szCs w:val="24"/>
        </w:rPr>
      </w:pPr>
      <w:r w:rsidRPr="00536A72">
        <w:rPr>
          <w:sz w:val="24"/>
          <w:szCs w:val="24"/>
        </w:rPr>
        <w:t xml:space="preserve">Пункт </w:t>
      </w:r>
      <w:r>
        <w:rPr>
          <w:sz w:val="24"/>
          <w:szCs w:val="24"/>
        </w:rPr>
        <w:t>2.5</w:t>
      </w:r>
      <w:r w:rsidRPr="00536A72">
        <w:rPr>
          <w:sz w:val="24"/>
          <w:szCs w:val="24"/>
        </w:rPr>
        <w:t xml:space="preserve"> </w:t>
      </w:r>
      <w:r w:rsidRPr="003822EE">
        <w:rPr>
          <w:bCs/>
          <w:sz w:val="24"/>
          <w:szCs w:val="24"/>
        </w:rPr>
        <w:t>изложить в следующей редакции</w:t>
      </w:r>
      <w:r>
        <w:rPr>
          <w:bCs/>
          <w:sz w:val="24"/>
          <w:szCs w:val="24"/>
        </w:rPr>
        <w:t>:</w:t>
      </w:r>
    </w:p>
    <w:p w:rsidR="00EA7204" w:rsidRPr="003822EE" w:rsidRDefault="00EA7204" w:rsidP="00EA7204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822EE">
        <w:rPr>
          <w:sz w:val="24"/>
          <w:szCs w:val="24"/>
        </w:rPr>
        <w:t>2.5. Размер субсидии утверждается распоряжением Комитета.</w:t>
      </w:r>
    </w:p>
    <w:p w:rsidR="00EA7204" w:rsidRPr="003822EE" w:rsidRDefault="00EA7204" w:rsidP="00EA7204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3822EE">
        <w:rPr>
          <w:sz w:val="24"/>
          <w:szCs w:val="24"/>
        </w:rPr>
        <w:t>Расчет размера субсидии производится по формуле:</w:t>
      </w:r>
    </w:p>
    <w:p w:rsidR="00EA7204" w:rsidRPr="003822EE" w:rsidRDefault="00EA7204" w:rsidP="00EA7204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color w:val="FF0000"/>
          <w:sz w:val="24"/>
          <w:szCs w:val="24"/>
        </w:rPr>
      </w:pPr>
    </w:p>
    <w:p w:rsidR="00EA7204" w:rsidRPr="00BC4DD9" w:rsidRDefault="000A6861" w:rsidP="00EA7204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/>
              <w:sz w:val="24"/>
              <w:szCs w:val="24"/>
            </w:rPr>
            <m:t xml:space="preserve">=11540 </m:t>
          </m:r>
          <m:r>
            <w:rPr>
              <w:rFonts w:ascii="Cambria Math" w:hAnsi="Cambria Math"/>
              <w:sz w:val="24"/>
              <w:szCs w:val="24"/>
            </w:rPr>
            <m:t>×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jq</m:t>
                  </m:r>
                </m:sub>
              </m:sSub>
            </m:e>
          </m:nary>
        </m:oMath>
      </m:oMathPara>
    </w:p>
    <w:p w:rsidR="00EA7204" w:rsidRPr="003822EE" w:rsidRDefault="00EA7204" w:rsidP="00EA720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EA7204" w:rsidRPr="003822EE" w:rsidRDefault="00EA7204" w:rsidP="00EA720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3822EE">
        <w:rPr>
          <w:sz w:val="24"/>
          <w:szCs w:val="24"/>
        </w:rPr>
        <w:t>где:</w:t>
      </w:r>
    </w:p>
    <w:p w:rsidR="00EA7204" w:rsidRPr="003822EE" w:rsidRDefault="00EA7204" w:rsidP="00EA720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spellStart"/>
      <w:r w:rsidRPr="003822EE">
        <w:rPr>
          <w:sz w:val="24"/>
          <w:szCs w:val="24"/>
        </w:rPr>
        <w:t>S</w:t>
      </w:r>
      <w:r w:rsidRPr="003822EE">
        <w:rPr>
          <w:sz w:val="24"/>
          <w:szCs w:val="24"/>
          <w:vertAlign w:val="subscript"/>
        </w:rPr>
        <w:t>i</w:t>
      </w:r>
      <w:proofErr w:type="spellEnd"/>
      <w:r w:rsidRPr="003822EE">
        <w:rPr>
          <w:sz w:val="24"/>
          <w:szCs w:val="24"/>
        </w:rPr>
        <w:t xml:space="preserve"> - объем средств, планируемых к выделению i-</w:t>
      </w:r>
      <w:proofErr w:type="spellStart"/>
      <w:r w:rsidRPr="003822EE">
        <w:rPr>
          <w:sz w:val="24"/>
          <w:szCs w:val="24"/>
        </w:rPr>
        <w:t>му</w:t>
      </w:r>
      <w:proofErr w:type="spellEnd"/>
      <w:r w:rsidRPr="003822EE">
        <w:rPr>
          <w:sz w:val="24"/>
          <w:szCs w:val="24"/>
        </w:rPr>
        <w:t xml:space="preserve"> получателю субсидии;</w:t>
      </w:r>
    </w:p>
    <w:p w:rsidR="00EA7204" w:rsidRPr="003822EE" w:rsidRDefault="00EA7204" w:rsidP="00EA720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spellStart"/>
      <w:r w:rsidRPr="003822EE">
        <w:rPr>
          <w:sz w:val="24"/>
          <w:szCs w:val="24"/>
        </w:rPr>
        <w:t>Nj</w:t>
      </w:r>
      <w:proofErr w:type="spellEnd"/>
      <w:r w:rsidRPr="003822EE">
        <w:rPr>
          <w:sz w:val="24"/>
          <w:szCs w:val="24"/>
          <w:lang w:val="en-US"/>
        </w:rPr>
        <w:t>q</w:t>
      </w:r>
      <w:r w:rsidRPr="003822EE">
        <w:rPr>
          <w:sz w:val="24"/>
          <w:szCs w:val="24"/>
        </w:rPr>
        <w:t xml:space="preserve"> - численность воспитанников у </w:t>
      </w:r>
      <w:r w:rsidRPr="003822EE">
        <w:rPr>
          <w:sz w:val="24"/>
          <w:szCs w:val="24"/>
          <w:lang w:val="en-US"/>
        </w:rPr>
        <w:t>j</w:t>
      </w:r>
      <w:r w:rsidRPr="003822EE">
        <w:rPr>
          <w:sz w:val="24"/>
          <w:szCs w:val="24"/>
        </w:rPr>
        <w:t xml:space="preserve">-го получателя субсидий в </w:t>
      </w:r>
      <w:r w:rsidRPr="003822EE">
        <w:rPr>
          <w:sz w:val="24"/>
          <w:szCs w:val="24"/>
          <w:lang w:val="en-US"/>
        </w:rPr>
        <w:t>q</w:t>
      </w:r>
      <w:r w:rsidRPr="003822EE">
        <w:rPr>
          <w:sz w:val="24"/>
          <w:szCs w:val="24"/>
        </w:rPr>
        <w:t>-м месяце</w:t>
      </w:r>
      <w:proofErr w:type="gramStart"/>
      <w:r w:rsidRPr="003822EE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EA7204" w:rsidRDefault="00EA7204" w:rsidP="00EA7204">
      <w:pPr>
        <w:ind w:firstLine="709"/>
        <w:jc w:val="both"/>
        <w:rPr>
          <w:bCs/>
          <w:sz w:val="24"/>
          <w:szCs w:val="24"/>
        </w:rPr>
      </w:pPr>
    </w:p>
    <w:p w:rsidR="00EA7204" w:rsidRPr="00536A72" w:rsidRDefault="00EA7204" w:rsidP="00EA7204">
      <w:pPr>
        <w:ind w:firstLine="709"/>
        <w:jc w:val="both"/>
        <w:rPr>
          <w:sz w:val="24"/>
          <w:szCs w:val="24"/>
        </w:rPr>
      </w:pPr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EA7204" w:rsidRDefault="00EA7204" w:rsidP="00EA7204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861" w:rsidRDefault="000A6861" w:rsidP="00762166">
      <w:r>
        <w:separator/>
      </w:r>
    </w:p>
  </w:endnote>
  <w:endnote w:type="continuationSeparator" w:id="0">
    <w:p w:rsidR="000A6861" w:rsidRDefault="000A686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53" w:rsidRDefault="00AA21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53" w:rsidRDefault="00AA21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53" w:rsidRDefault="00AA21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861" w:rsidRDefault="000A6861" w:rsidP="00762166">
      <w:r>
        <w:separator/>
      </w:r>
    </w:p>
  </w:footnote>
  <w:footnote w:type="continuationSeparator" w:id="0">
    <w:p w:rsidR="000A6861" w:rsidRDefault="000A686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53" w:rsidRDefault="00AA21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53" w:rsidRDefault="00AA21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7b96893-e40b-4333-9514-4ceaf6018254"/>
  </w:docVars>
  <w:rsids>
    <w:rsidRoot w:val="00EA7204"/>
    <w:rsid w:val="000216DC"/>
    <w:rsid w:val="00024F94"/>
    <w:rsid w:val="0005521C"/>
    <w:rsid w:val="00070E72"/>
    <w:rsid w:val="00097477"/>
    <w:rsid w:val="000A43B7"/>
    <w:rsid w:val="000A651A"/>
    <w:rsid w:val="000A6861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2BC3"/>
    <w:rsid w:val="00A035CF"/>
    <w:rsid w:val="00A06BBF"/>
    <w:rsid w:val="00A24EEC"/>
    <w:rsid w:val="00A4374C"/>
    <w:rsid w:val="00A5300C"/>
    <w:rsid w:val="00A7195B"/>
    <w:rsid w:val="00A975EF"/>
    <w:rsid w:val="00AA1D65"/>
    <w:rsid w:val="00AA2153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C4DD9"/>
    <w:rsid w:val="00BD6501"/>
    <w:rsid w:val="00C27AB4"/>
    <w:rsid w:val="00C33ECE"/>
    <w:rsid w:val="00C70BE4"/>
    <w:rsid w:val="00C75FBD"/>
    <w:rsid w:val="00C877C2"/>
    <w:rsid w:val="00C97A22"/>
    <w:rsid w:val="00CB3B7A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7204"/>
    <w:rsid w:val="00ED69D4"/>
    <w:rsid w:val="00EE0337"/>
    <w:rsid w:val="00EE27F0"/>
    <w:rsid w:val="00EE51E5"/>
    <w:rsid w:val="00F059CE"/>
    <w:rsid w:val="00F34748"/>
    <w:rsid w:val="00F51338"/>
    <w:rsid w:val="00F6168C"/>
    <w:rsid w:val="00FE5BA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fd2d52f-6655-4b8d-ab1d-98d2fe9a3d2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cfd2d52f-6655-4b8d-ab1d-98d2fe9a3d28.dot</Template>
  <TotalTime>2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2026-02-27T11:43:00Z</cp:lastPrinted>
  <dcterms:created xsi:type="dcterms:W3CDTF">2026-02-27T12:42:00Z</dcterms:created>
  <dcterms:modified xsi:type="dcterms:W3CDTF">2026-02-27T12:55:00Z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57b96893-e40b-4333-9514-4ceaf6018254</vt:lpwstr>
  </property>
</Properties>
</file>