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9135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9135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5A3768"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5A3768">
        <w:rPr>
          <w:sz w:val="24"/>
        </w:rPr>
        <w:t>04/08/2025</w:t>
      </w:r>
      <w:r w:rsidR="00762166">
        <w:rPr>
          <w:sz w:val="24"/>
        </w:rPr>
        <w:t xml:space="preserve"> № </w:t>
      </w:r>
      <w:r w:rsidR="005A3768">
        <w:rPr>
          <w:sz w:val="24"/>
        </w:rPr>
        <w:t>2065</w:t>
      </w:r>
    </w:p>
    <w:p w:rsidR="00F827A2" w:rsidRDefault="00F827A2" w:rsidP="00F827A2">
      <w:pPr>
        <w:jc w:val="both"/>
        <w:rPr>
          <w:sz w:val="24"/>
        </w:rPr>
      </w:pPr>
    </w:p>
    <w:p w:rsidR="00F827A2" w:rsidRDefault="00F827A2" w:rsidP="00F827A2">
      <w:pPr>
        <w:rPr>
          <w:sz w:val="24"/>
          <w:szCs w:val="24"/>
        </w:rPr>
      </w:pPr>
      <w:r>
        <w:rPr>
          <w:sz w:val="24"/>
          <w:szCs w:val="24"/>
        </w:rPr>
        <w:t>Об у</w:t>
      </w:r>
      <w:r w:rsidRPr="00656A0B">
        <w:rPr>
          <w:sz w:val="24"/>
          <w:szCs w:val="24"/>
        </w:rPr>
        <w:t>становлени</w:t>
      </w:r>
      <w:r>
        <w:rPr>
          <w:sz w:val="24"/>
          <w:szCs w:val="24"/>
        </w:rPr>
        <w:t>и</w:t>
      </w:r>
      <w:r w:rsidRPr="00656A0B">
        <w:rPr>
          <w:sz w:val="24"/>
          <w:szCs w:val="24"/>
        </w:rPr>
        <w:t xml:space="preserve"> размера платы за содержание</w:t>
      </w:r>
    </w:p>
    <w:p w:rsidR="00F827A2" w:rsidRDefault="00F827A2" w:rsidP="00F827A2">
      <w:pPr>
        <w:rPr>
          <w:sz w:val="24"/>
          <w:szCs w:val="24"/>
        </w:rPr>
      </w:pPr>
      <w:r w:rsidRPr="00656A0B">
        <w:rPr>
          <w:sz w:val="24"/>
          <w:szCs w:val="24"/>
        </w:rPr>
        <w:t>жил</w:t>
      </w:r>
      <w:r>
        <w:rPr>
          <w:sz w:val="24"/>
          <w:szCs w:val="24"/>
        </w:rPr>
        <w:t>ого</w:t>
      </w:r>
      <w:r w:rsidRPr="00656A0B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я</w:t>
      </w:r>
      <w:r w:rsidRPr="00656A0B">
        <w:rPr>
          <w:sz w:val="24"/>
          <w:szCs w:val="24"/>
        </w:rPr>
        <w:t xml:space="preserve"> для собственников помещений</w:t>
      </w:r>
    </w:p>
    <w:p w:rsidR="00F827A2" w:rsidRDefault="00F827A2" w:rsidP="00F827A2">
      <w:pPr>
        <w:rPr>
          <w:sz w:val="24"/>
          <w:szCs w:val="24"/>
        </w:rPr>
      </w:pPr>
      <w:r w:rsidRPr="00656A0B">
        <w:rPr>
          <w:sz w:val="24"/>
          <w:szCs w:val="24"/>
        </w:rPr>
        <w:t xml:space="preserve">в многоквартирном доме, </w:t>
      </w:r>
      <w:proofErr w:type="gramStart"/>
      <w:r w:rsidRPr="00656A0B">
        <w:rPr>
          <w:sz w:val="24"/>
          <w:szCs w:val="24"/>
        </w:rPr>
        <w:t>которые</w:t>
      </w:r>
      <w:proofErr w:type="gramEnd"/>
      <w:r w:rsidRPr="00656A0B">
        <w:rPr>
          <w:sz w:val="24"/>
          <w:szCs w:val="24"/>
        </w:rPr>
        <w:t xml:space="preserve"> на общем собрании</w:t>
      </w:r>
    </w:p>
    <w:p w:rsidR="00F827A2" w:rsidRDefault="00F827A2" w:rsidP="00F827A2">
      <w:pPr>
        <w:rPr>
          <w:sz w:val="24"/>
          <w:szCs w:val="24"/>
        </w:rPr>
      </w:pPr>
      <w:r>
        <w:rPr>
          <w:sz w:val="24"/>
          <w:szCs w:val="24"/>
        </w:rPr>
        <w:t>не приняли решение</w:t>
      </w:r>
      <w:r w:rsidRPr="00656A0B">
        <w:rPr>
          <w:sz w:val="24"/>
          <w:szCs w:val="24"/>
        </w:rPr>
        <w:t xml:space="preserve"> об установлении размера платы </w:t>
      </w:r>
      <w:proofErr w:type="gramStart"/>
      <w:r w:rsidRPr="00656A0B">
        <w:rPr>
          <w:sz w:val="24"/>
          <w:szCs w:val="24"/>
        </w:rPr>
        <w:t>за</w:t>
      </w:r>
      <w:proofErr w:type="gramEnd"/>
    </w:p>
    <w:p w:rsidR="00F827A2" w:rsidRDefault="00F827A2" w:rsidP="00F827A2">
      <w:pPr>
        <w:rPr>
          <w:sz w:val="24"/>
          <w:szCs w:val="24"/>
        </w:rPr>
      </w:pPr>
      <w:r w:rsidRPr="00656A0B">
        <w:rPr>
          <w:sz w:val="24"/>
          <w:szCs w:val="24"/>
        </w:rPr>
        <w:t>содержание жил</w:t>
      </w:r>
      <w:r>
        <w:rPr>
          <w:sz w:val="24"/>
          <w:szCs w:val="24"/>
        </w:rPr>
        <w:t>ого п</w:t>
      </w:r>
      <w:r w:rsidRPr="00656A0B">
        <w:rPr>
          <w:sz w:val="24"/>
          <w:szCs w:val="24"/>
        </w:rPr>
        <w:t>омещени</w:t>
      </w:r>
      <w:r>
        <w:rPr>
          <w:sz w:val="24"/>
          <w:szCs w:val="24"/>
        </w:rPr>
        <w:t>я</w:t>
      </w:r>
    </w:p>
    <w:p w:rsidR="00F827A2" w:rsidRDefault="00F827A2" w:rsidP="00F827A2">
      <w:pPr>
        <w:ind w:firstLine="567"/>
        <w:jc w:val="both"/>
        <w:rPr>
          <w:sz w:val="24"/>
          <w:szCs w:val="24"/>
        </w:rPr>
      </w:pPr>
    </w:p>
    <w:p w:rsidR="00F827A2" w:rsidRDefault="00F827A2" w:rsidP="00F827A2">
      <w:pPr>
        <w:ind w:firstLine="567"/>
        <w:jc w:val="both"/>
        <w:rPr>
          <w:sz w:val="24"/>
          <w:szCs w:val="24"/>
        </w:rPr>
      </w:pPr>
    </w:p>
    <w:p w:rsidR="00F827A2" w:rsidRDefault="00F827A2" w:rsidP="00F827A2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</w:rPr>
        <w:t xml:space="preserve">п.4 ст.158 Жилищного кодекса РФ, </w:t>
      </w:r>
      <w:r>
        <w:rPr>
          <w:sz w:val="24"/>
          <w:szCs w:val="24"/>
        </w:rPr>
        <w:t>постановлением</w:t>
      </w:r>
      <w:r w:rsidRPr="00F90650">
        <w:rPr>
          <w:sz w:val="24"/>
          <w:szCs w:val="24"/>
        </w:rPr>
        <w:t xml:space="preserve"> администрации Сосновоборского городского округа от </w:t>
      </w:r>
      <w:r w:rsidRPr="00CF5396">
        <w:rPr>
          <w:sz w:val="24"/>
          <w:szCs w:val="24"/>
        </w:rPr>
        <w:t>05.04.2024 № 825</w:t>
      </w:r>
      <w:r w:rsidRPr="00F90650">
        <w:rPr>
          <w:sz w:val="24"/>
          <w:szCs w:val="24"/>
        </w:rPr>
        <w:t xml:space="preserve"> «Об утверждении Порядка установления размера платы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 xml:space="preserve">содержание жилого помещения на территории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Ленинградской области»</w:t>
      </w:r>
      <w:r>
        <w:rPr>
          <w:sz w:val="24"/>
          <w:szCs w:val="24"/>
        </w:rPr>
        <w:t xml:space="preserve">, на основании рекомендаций Комиссии </w:t>
      </w:r>
      <w:r w:rsidRPr="006D0657">
        <w:rPr>
          <w:sz w:val="24"/>
          <w:szCs w:val="24"/>
        </w:rPr>
        <w:t xml:space="preserve">по установлению </w:t>
      </w:r>
      <w:r>
        <w:rPr>
          <w:sz w:val="24"/>
          <w:szCs w:val="24"/>
        </w:rPr>
        <w:t xml:space="preserve">размера </w:t>
      </w:r>
      <w:r w:rsidRPr="006D0657">
        <w:rPr>
          <w:sz w:val="24"/>
          <w:szCs w:val="24"/>
        </w:rPr>
        <w:t>платы за содерж</w:t>
      </w:r>
      <w:r>
        <w:rPr>
          <w:sz w:val="24"/>
          <w:szCs w:val="24"/>
        </w:rPr>
        <w:t xml:space="preserve">ание </w:t>
      </w:r>
      <w:r w:rsidRPr="00A557A7">
        <w:rPr>
          <w:sz w:val="24"/>
          <w:szCs w:val="24"/>
        </w:rPr>
        <w:t>жилых помещений на террит</w:t>
      </w:r>
      <w:r>
        <w:rPr>
          <w:sz w:val="24"/>
          <w:szCs w:val="24"/>
        </w:rPr>
        <w:t>ории муниципального образования</w:t>
      </w:r>
      <w:r w:rsidRPr="0058207D">
        <w:rPr>
          <w:sz w:val="24"/>
          <w:szCs w:val="24"/>
        </w:rPr>
        <w:t xml:space="preserve"> </w:t>
      </w:r>
      <w:proofErr w:type="spellStart"/>
      <w:r w:rsidRPr="00A557A7"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13AFA">
        <w:rPr>
          <w:sz w:val="24"/>
          <w:szCs w:val="24"/>
        </w:rPr>
        <w:t>в виду того, что собственники помещений в многоквартирн</w:t>
      </w:r>
      <w:r>
        <w:rPr>
          <w:sz w:val="24"/>
          <w:szCs w:val="24"/>
        </w:rPr>
        <w:t xml:space="preserve">ых домах, расположенных по </w:t>
      </w:r>
      <w:r w:rsidRPr="00F13AFA">
        <w:rPr>
          <w:sz w:val="24"/>
          <w:szCs w:val="24"/>
        </w:rPr>
        <w:t>адрес</w:t>
      </w:r>
      <w:r>
        <w:rPr>
          <w:sz w:val="24"/>
          <w:szCs w:val="24"/>
        </w:rPr>
        <w:t>ам</w:t>
      </w:r>
      <w:r w:rsidRPr="004C46E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ул.Молодежная</w:t>
      </w:r>
      <w:proofErr w:type="spellEnd"/>
      <w:r>
        <w:rPr>
          <w:sz w:val="24"/>
          <w:szCs w:val="24"/>
        </w:rPr>
        <w:t xml:space="preserve"> </w:t>
      </w:r>
      <w:r w:rsidRPr="00BC1A61">
        <w:rPr>
          <w:sz w:val="24"/>
          <w:szCs w:val="24"/>
        </w:rPr>
        <w:t>д.</w:t>
      </w:r>
      <w:r>
        <w:rPr>
          <w:sz w:val="24"/>
          <w:szCs w:val="24"/>
        </w:rPr>
        <w:t xml:space="preserve">43, корп. 2,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арковая</w:t>
      </w:r>
      <w:proofErr w:type="spellEnd"/>
      <w:r>
        <w:rPr>
          <w:sz w:val="24"/>
          <w:szCs w:val="24"/>
        </w:rPr>
        <w:t xml:space="preserve"> д.21 А на</w:t>
      </w:r>
      <w:r w:rsidRPr="004C46EA">
        <w:rPr>
          <w:sz w:val="24"/>
          <w:szCs w:val="24"/>
        </w:rPr>
        <w:t xml:space="preserve"> их общем собрании не приняли решение об</w:t>
      </w:r>
      <w:r w:rsidRPr="007416F1">
        <w:rPr>
          <w:sz w:val="24"/>
        </w:rPr>
        <w:t xml:space="preserve"> установлении размера платы за содер</w:t>
      </w:r>
      <w:r>
        <w:rPr>
          <w:sz w:val="24"/>
        </w:rPr>
        <w:t>жание жилых помещений с учетом предложений ООО «</w:t>
      </w:r>
      <w:proofErr w:type="spellStart"/>
      <w:r>
        <w:rPr>
          <w:sz w:val="24"/>
        </w:rPr>
        <w:t>Домус</w:t>
      </w:r>
      <w:proofErr w:type="spellEnd"/>
      <w:r>
        <w:rPr>
          <w:sz w:val="24"/>
        </w:rPr>
        <w:t>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r w:rsidRPr="00FB6E2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FB6E21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е т</w:t>
      </w:r>
      <w:r w:rsidRPr="00FB6E21">
        <w:rPr>
          <w:b/>
          <w:sz w:val="24"/>
          <w:szCs w:val="24"/>
        </w:rPr>
        <w:t>:</w:t>
      </w:r>
    </w:p>
    <w:p w:rsidR="00F827A2" w:rsidRPr="003E2AF3" w:rsidRDefault="00F827A2" w:rsidP="00F827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827A2" w:rsidRDefault="00F827A2" w:rsidP="00F827A2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 xml:space="preserve">Установить с 01 </w:t>
      </w:r>
      <w:r>
        <w:rPr>
          <w:sz w:val="24"/>
          <w:szCs w:val="24"/>
        </w:rPr>
        <w:t xml:space="preserve">сентября </w:t>
      </w:r>
      <w:r w:rsidRPr="00A07E5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07E57">
        <w:rPr>
          <w:sz w:val="24"/>
          <w:szCs w:val="24"/>
        </w:rPr>
        <w:t xml:space="preserve"> года размер платы за содержание жил</w:t>
      </w:r>
      <w:r>
        <w:rPr>
          <w:sz w:val="24"/>
          <w:szCs w:val="24"/>
        </w:rPr>
        <w:t>ого</w:t>
      </w:r>
      <w:r w:rsidRPr="00A07E57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 xml:space="preserve">я                                                                                                                                                                                   </w:t>
      </w:r>
      <w:r w:rsidRPr="00A07E57">
        <w:rPr>
          <w:sz w:val="24"/>
          <w:szCs w:val="24"/>
        </w:rPr>
        <w:t xml:space="preserve"> в многоквартирн</w:t>
      </w:r>
      <w:r>
        <w:rPr>
          <w:sz w:val="24"/>
          <w:szCs w:val="24"/>
        </w:rPr>
        <w:t>ых</w:t>
      </w:r>
      <w:r w:rsidRPr="00A07E57">
        <w:rPr>
          <w:sz w:val="24"/>
          <w:szCs w:val="24"/>
        </w:rPr>
        <w:t xml:space="preserve"> дом</w:t>
      </w:r>
      <w:r>
        <w:rPr>
          <w:sz w:val="24"/>
          <w:szCs w:val="24"/>
        </w:rPr>
        <w:t>ах</w:t>
      </w:r>
      <w:r w:rsidRPr="00A07E57">
        <w:rPr>
          <w:sz w:val="24"/>
          <w:szCs w:val="24"/>
        </w:rPr>
        <w:t xml:space="preserve">, </w:t>
      </w:r>
      <w:proofErr w:type="gramStart"/>
      <w:r w:rsidRPr="00A07E57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й</w:t>
      </w:r>
      <w:proofErr w:type="gramEnd"/>
      <w:r>
        <w:rPr>
          <w:sz w:val="24"/>
          <w:szCs w:val="24"/>
        </w:rPr>
        <w:t xml:space="preserve"> </w:t>
      </w:r>
      <w:r w:rsidRPr="00B14085">
        <w:rPr>
          <w:sz w:val="24"/>
          <w:szCs w:val="24"/>
        </w:rPr>
        <w:t xml:space="preserve">№1 </w:t>
      </w:r>
      <w:r>
        <w:rPr>
          <w:sz w:val="24"/>
          <w:szCs w:val="24"/>
        </w:rPr>
        <w:t xml:space="preserve">по №2 </w:t>
      </w:r>
      <w:r w:rsidRPr="00A07E57">
        <w:rPr>
          <w:sz w:val="24"/>
          <w:szCs w:val="24"/>
        </w:rPr>
        <w:t>к настоящему постановлению.</w:t>
      </w:r>
    </w:p>
    <w:p w:rsidR="00F827A2" w:rsidRPr="00A07E57" w:rsidRDefault="00F827A2" w:rsidP="00F827A2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46384">
        <w:rPr>
          <w:sz w:val="24"/>
        </w:rPr>
        <w:t xml:space="preserve">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</w:t>
      </w:r>
      <w:r>
        <w:rPr>
          <w:sz w:val="24"/>
        </w:rPr>
        <w:t>новоборского городского округа.</w:t>
      </w:r>
    </w:p>
    <w:p w:rsidR="00F827A2" w:rsidRPr="00A07E57" w:rsidRDefault="00F827A2" w:rsidP="00F827A2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F827A2" w:rsidRPr="00A07E57" w:rsidRDefault="00F827A2" w:rsidP="00F827A2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827A2" w:rsidRPr="00A07E57" w:rsidRDefault="00F827A2" w:rsidP="00F827A2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A07E57">
        <w:rPr>
          <w:sz w:val="24"/>
          <w:szCs w:val="24"/>
        </w:rPr>
        <w:t>Контроль за</w:t>
      </w:r>
      <w:proofErr w:type="gramEnd"/>
      <w:r w:rsidRPr="00A07E57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F827A2" w:rsidRDefault="00F827A2" w:rsidP="00F827A2">
      <w:pPr>
        <w:jc w:val="both"/>
        <w:rPr>
          <w:sz w:val="24"/>
          <w:szCs w:val="24"/>
        </w:rPr>
      </w:pPr>
    </w:p>
    <w:p w:rsidR="00F827A2" w:rsidRDefault="00F827A2" w:rsidP="00F827A2">
      <w:pPr>
        <w:jc w:val="both"/>
        <w:rPr>
          <w:sz w:val="24"/>
          <w:szCs w:val="24"/>
        </w:rPr>
      </w:pPr>
    </w:p>
    <w:p w:rsidR="00F827A2" w:rsidRDefault="00F827A2" w:rsidP="00F827A2">
      <w:pPr>
        <w:jc w:val="both"/>
        <w:rPr>
          <w:sz w:val="24"/>
          <w:szCs w:val="24"/>
        </w:rPr>
      </w:pPr>
    </w:p>
    <w:p w:rsidR="00F827A2" w:rsidRPr="006F2CB0" w:rsidRDefault="00F827A2" w:rsidP="00F827A2">
      <w:pPr>
        <w:jc w:val="both"/>
        <w:rPr>
          <w:sz w:val="24"/>
          <w:szCs w:val="24"/>
        </w:rPr>
      </w:pPr>
      <w:r w:rsidRPr="006F2CB0">
        <w:rPr>
          <w:sz w:val="24"/>
          <w:szCs w:val="24"/>
        </w:rPr>
        <w:t>Глава Сосновоборского городского округа</w:t>
      </w:r>
      <w:r w:rsidRPr="006F2CB0">
        <w:rPr>
          <w:sz w:val="24"/>
          <w:szCs w:val="24"/>
        </w:rPr>
        <w:tab/>
      </w:r>
      <w:r w:rsidRPr="006F2C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</w:t>
      </w:r>
      <w:r w:rsidRPr="006F2CB0">
        <w:rPr>
          <w:sz w:val="24"/>
          <w:szCs w:val="24"/>
        </w:rPr>
        <w:t>Воронков</w:t>
      </w:r>
    </w:p>
    <w:p w:rsidR="00F827A2" w:rsidRDefault="00F827A2" w:rsidP="00F827A2">
      <w:pPr>
        <w:jc w:val="both"/>
        <w:rPr>
          <w:sz w:val="24"/>
          <w:szCs w:val="24"/>
        </w:rPr>
      </w:pPr>
    </w:p>
    <w:p w:rsidR="00F827A2" w:rsidRDefault="00F827A2" w:rsidP="00F827A2">
      <w:pPr>
        <w:jc w:val="both"/>
        <w:rPr>
          <w:sz w:val="24"/>
          <w:szCs w:val="24"/>
        </w:rPr>
      </w:pPr>
    </w:p>
    <w:p w:rsidR="00395465" w:rsidRDefault="00395465" w:rsidP="00F827A2">
      <w:pPr>
        <w:jc w:val="right"/>
        <w:rPr>
          <w:sz w:val="24"/>
          <w:szCs w:val="24"/>
        </w:rPr>
      </w:pPr>
    </w:p>
    <w:p w:rsidR="00395465" w:rsidRDefault="00395465" w:rsidP="00F827A2">
      <w:pPr>
        <w:jc w:val="right"/>
        <w:rPr>
          <w:sz w:val="24"/>
          <w:szCs w:val="24"/>
        </w:rPr>
      </w:pPr>
    </w:p>
    <w:p w:rsidR="00395465" w:rsidRDefault="00395465" w:rsidP="00F827A2">
      <w:pPr>
        <w:jc w:val="right"/>
        <w:rPr>
          <w:sz w:val="24"/>
          <w:szCs w:val="24"/>
        </w:rPr>
      </w:pPr>
    </w:p>
    <w:p w:rsidR="00395465" w:rsidRDefault="00395465" w:rsidP="00F827A2">
      <w:pPr>
        <w:jc w:val="right"/>
        <w:rPr>
          <w:sz w:val="24"/>
          <w:szCs w:val="24"/>
        </w:rPr>
      </w:pPr>
    </w:p>
    <w:p w:rsidR="00395465" w:rsidRDefault="00395465" w:rsidP="00F827A2">
      <w:pPr>
        <w:jc w:val="right"/>
        <w:rPr>
          <w:sz w:val="24"/>
          <w:szCs w:val="24"/>
        </w:rPr>
      </w:pPr>
    </w:p>
    <w:p w:rsidR="00F827A2" w:rsidRDefault="00F827A2" w:rsidP="00F827A2">
      <w:pPr>
        <w:jc w:val="right"/>
        <w:rPr>
          <w:b/>
          <w:sz w:val="24"/>
        </w:rPr>
      </w:pPr>
      <w:bookmarkStart w:id="0" w:name="_GoBack"/>
      <w:bookmarkEnd w:id="0"/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CF5396">
        <w:rPr>
          <w:sz w:val="24"/>
          <w:szCs w:val="24"/>
        </w:rPr>
        <w:t>1</w:t>
      </w:r>
    </w:p>
    <w:p w:rsidR="00F827A2" w:rsidRPr="00932B9D" w:rsidRDefault="00F827A2" w:rsidP="00F827A2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F827A2" w:rsidRDefault="00F827A2" w:rsidP="00F827A2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F827A2" w:rsidRDefault="005A3768" w:rsidP="005A3768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от 04/08/2025 № 2065</w:t>
      </w:r>
    </w:p>
    <w:p w:rsidR="005A3768" w:rsidRDefault="005A3768" w:rsidP="005A3768">
      <w:pPr>
        <w:autoSpaceDE w:val="0"/>
        <w:autoSpaceDN w:val="0"/>
        <w:adjustRightInd w:val="0"/>
        <w:jc w:val="right"/>
        <w:rPr>
          <w:sz w:val="24"/>
        </w:rPr>
      </w:pPr>
    </w:p>
    <w:p w:rsidR="005A3768" w:rsidRDefault="005A3768" w:rsidP="005A3768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27A2" w:rsidRPr="006C316B" w:rsidRDefault="00F827A2" w:rsidP="00F827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F827A2" w:rsidRPr="006C316B" w:rsidRDefault="00F827A2" w:rsidP="00F827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 xml:space="preserve">ул. Молодежная,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>43, корп. 2</w:t>
      </w:r>
    </w:p>
    <w:p w:rsidR="00F827A2" w:rsidRDefault="00F827A2" w:rsidP="00F827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7624"/>
        <w:gridCol w:w="1745"/>
      </w:tblGrid>
      <w:tr w:rsidR="00F827A2" w:rsidRPr="006C316B" w:rsidTr="00D863CD">
        <w:trPr>
          <w:trHeight w:val="9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A2" w:rsidRPr="009C1AB2" w:rsidRDefault="00F827A2" w:rsidP="00D863C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7A2" w:rsidRPr="009C1AB2" w:rsidRDefault="00F827A2" w:rsidP="00D863C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A2" w:rsidRPr="009C1AB2" w:rsidRDefault="00F827A2" w:rsidP="00D86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2" w:rsidRPr="00450DBB" w:rsidRDefault="00F827A2" w:rsidP="00D863CD">
            <w:pPr>
              <w:jc w:val="center"/>
              <w:rPr>
                <w:sz w:val="24"/>
                <w:szCs w:val="24"/>
              </w:rPr>
            </w:pPr>
            <w:r w:rsidRPr="00450DBB">
              <w:rPr>
                <w:sz w:val="24"/>
                <w:szCs w:val="24"/>
              </w:rPr>
              <w:t>1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7A2" w:rsidRPr="007D50D9" w:rsidRDefault="00F827A2" w:rsidP="00D863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A2" w:rsidRPr="007D50D9" w:rsidRDefault="00F827A2" w:rsidP="00D863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2,56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Pr="00450DBB" w:rsidRDefault="00F827A2" w:rsidP="00D86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7A2" w:rsidRPr="007D50D9" w:rsidRDefault="00F827A2" w:rsidP="00D863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A2" w:rsidRPr="007D50D9" w:rsidRDefault="00F827A2" w:rsidP="00D863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5,35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Pr="00450DBB" w:rsidRDefault="00F827A2" w:rsidP="00D86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A2" w:rsidRPr="007D50D9" w:rsidRDefault="00F827A2" w:rsidP="00D863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Pr="007D50D9" w:rsidRDefault="00F827A2" w:rsidP="00D863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10,46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A2" w:rsidRDefault="00F827A2" w:rsidP="00D863CD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Услуги аварийно-диспетчерской службы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Default="00F827A2" w:rsidP="00D863CD">
            <w:pPr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0,50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A2" w:rsidRDefault="00F827A2" w:rsidP="00D863CD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многоквартирным домом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Default="00F827A2" w:rsidP="00D863CD">
            <w:pPr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7,31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A2" w:rsidRDefault="00F827A2" w:rsidP="00D863CD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ремонт и обслуживание КНС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Default="00F827A2" w:rsidP="00D863CD">
            <w:pPr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4,28</w:t>
            </w:r>
          </w:p>
        </w:tc>
      </w:tr>
      <w:tr w:rsidR="00F827A2" w:rsidRPr="00450DBB" w:rsidTr="00D863CD">
        <w:trPr>
          <w:trHeight w:val="285"/>
        </w:trPr>
        <w:tc>
          <w:tcPr>
            <w:tcW w:w="41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7A2" w:rsidRPr="00450DBB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50DB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A2" w:rsidRPr="00450DBB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30,46</w:t>
            </w:r>
            <w:r w:rsidRPr="00450DBB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F827A2" w:rsidRPr="00450DBB" w:rsidRDefault="00F827A2" w:rsidP="00F827A2">
      <w:pPr>
        <w:ind w:left="142"/>
        <w:jc w:val="both"/>
      </w:pPr>
      <w:r w:rsidRPr="00450DBB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827A2" w:rsidRDefault="00F827A2" w:rsidP="00F827A2">
      <w:pPr>
        <w:spacing w:after="160" w:line="259" w:lineRule="auto"/>
        <w:rPr>
          <w:sz w:val="24"/>
          <w:szCs w:val="24"/>
        </w:rPr>
      </w:pPr>
    </w:p>
    <w:p w:rsidR="00F827A2" w:rsidRDefault="00F827A2" w:rsidP="00F827A2">
      <w:pPr>
        <w:spacing w:after="160" w:line="259" w:lineRule="auto"/>
        <w:rPr>
          <w:sz w:val="24"/>
          <w:szCs w:val="24"/>
        </w:rPr>
      </w:pPr>
    </w:p>
    <w:p w:rsidR="00F827A2" w:rsidRDefault="00F827A2" w:rsidP="00F827A2">
      <w:pPr>
        <w:spacing w:after="160" w:line="259" w:lineRule="auto"/>
        <w:rPr>
          <w:sz w:val="24"/>
          <w:szCs w:val="24"/>
        </w:rPr>
      </w:pPr>
    </w:p>
    <w:p w:rsidR="00F827A2" w:rsidRDefault="00F827A2" w:rsidP="00F827A2">
      <w:pPr>
        <w:spacing w:after="160" w:line="259" w:lineRule="auto"/>
        <w:rPr>
          <w:sz w:val="24"/>
          <w:szCs w:val="24"/>
        </w:rPr>
      </w:pPr>
    </w:p>
    <w:p w:rsidR="00F827A2" w:rsidRDefault="00F827A2" w:rsidP="005A3768">
      <w:pPr>
        <w:jc w:val="right"/>
        <w:rPr>
          <w:b/>
          <w:sz w:val="24"/>
        </w:rPr>
      </w:pPr>
      <w:r>
        <w:br w:type="page"/>
      </w: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F827A2" w:rsidRPr="00932B9D" w:rsidRDefault="00F827A2" w:rsidP="00F827A2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F827A2" w:rsidRDefault="00F827A2" w:rsidP="00F827A2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F827A2" w:rsidRDefault="005A3768" w:rsidP="005A3768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от 04/08/2025 № 2065</w:t>
      </w:r>
    </w:p>
    <w:p w:rsidR="005A3768" w:rsidRDefault="005A3768" w:rsidP="005A3768">
      <w:pPr>
        <w:autoSpaceDE w:val="0"/>
        <w:autoSpaceDN w:val="0"/>
        <w:adjustRightInd w:val="0"/>
        <w:jc w:val="right"/>
        <w:rPr>
          <w:sz w:val="24"/>
        </w:rPr>
      </w:pPr>
    </w:p>
    <w:p w:rsidR="005A3768" w:rsidRDefault="005A3768" w:rsidP="005A3768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27A2" w:rsidRPr="006C316B" w:rsidRDefault="00F827A2" w:rsidP="00F827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F827A2" w:rsidRPr="006C316B" w:rsidRDefault="00F827A2" w:rsidP="00F827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 xml:space="preserve">ул. Парковая,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>21 А</w:t>
      </w:r>
    </w:p>
    <w:p w:rsidR="00F827A2" w:rsidRDefault="00F827A2" w:rsidP="00F827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7624"/>
        <w:gridCol w:w="1745"/>
      </w:tblGrid>
      <w:tr w:rsidR="00F827A2" w:rsidRPr="006C316B" w:rsidTr="00D863CD">
        <w:trPr>
          <w:trHeight w:val="9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A2" w:rsidRPr="009C1AB2" w:rsidRDefault="00F827A2" w:rsidP="00D863C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7A2" w:rsidRPr="009C1AB2" w:rsidRDefault="00F827A2" w:rsidP="00D863C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A2" w:rsidRPr="009C1AB2" w:rsidRDefault="00F827A2" w:rsidP="00D86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A2" w:rsidRPr="00450DBB" w:rsidRDefault="00F827A2" w:rsidP="00D863CD">
            <w:pPr>
              <w:jc w:val="center"/>
              <w:rPr>
                <w:sz w:val="24"/>
                <w:szCs w:val="24"/>
              </w:rPr>
            </w:pPr>
            <w:r w:rsidRPr="00450DBB">
              <w:rPr>
                <w:sz w:val="24"/>
                <w:szCs w:val="24"/>
              </w:rPr>
              <w:t>1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7A2" w:rsidRPr="007D50D9" w:rsidRDefault="00F827A2" w:rsidP="00D863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A2" w:rsidRPr="007D50D9" w:rsidRDefault="00F827A2" w:rsidP="00D863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3,14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Pr="00450DBB" w:rsidRDefault="00F827A2" w:rsidP="00D86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27A2" w:rsidRPr="007D50D9" w:rsidRDefault="00F827A2" w:rsidP="00D863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A2" w:rsidRPr="007D50D9" w:rsidRDefault="00F827A2" w:rsidP="00D863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17,05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Pr="00450DBB" w:rsidRDefault="00F827A2" w:rsidP="00D86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A2" w:rsidRPr="007D50D9" w:rsidRDefault="00F827A2" w:rsidP="00D863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Pr="007D50D9" w:rsidRDefault="00F827A2" w:rsidP="00D863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6,98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A2" w:rsidRDefault="00F827A2" w:rsidP="00D863CD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Услуги аварийно-диспетчерской службы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Default="00F827A2" w:rsidP="00D863CD">
            <w:pPr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0,50</w:t>
            </w:r>
          </w:p>
        </w:tc>
      </w:tr>
      <w:tr w:rsidR="00F827A2" w:rsidRPr="00450DBB" w:rsidTr="00D863CD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A2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A2" w:rsidRDefault="00F827A2" w:rsidP="00D863CD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многоквартирным домом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A2" w:rsidRDefault="00F827A2" w:rsidP="00D863CD">
            <w:pPr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6,18</w:t>
            </w:r>
          </w:p>
        </w:tc>
      </w:tr>
      <w:tr w:rsidR="00F827A2" w:rsidRPr="00450DBB" w:rsidTr="00D863CD">
        <w:trPr>
          <w:trHeight w:val="285"/>
        </w:trPr>
        <w:tc>
          <w:tcPr>
            <w:tcW w:w="41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7A2" w:rsidRPr="00450DBB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50DB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7A2" w:rsidRPr="00450DBB" w:rsidRDefault="00F827A2" w:rsidP="00D863C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33,85</w:t>
            </w:r>
            <w:r w:rsidRPr="00450DBB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F827A2" w:rsidRPr="009365FB" w:rsidRDefault="00F827A2" w:rsidP="00F827A2">
      <w:pPr>
        <w:ind w:left="142"/>
        <w:jc w:val="both"/>
      </w:pPr>
      <w:r w:rsidRPr="00450DBB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827A2" w:rsidRDefault="00F827A2" w:rsidP="00F827A2">
      <w:pPr>
        <w:spacing w:after="160" w:line="259" w:lineRule="auto"/>
        <w:rPr>
          <w:sz w:val="24"/>
          <w:szCs w:val="24"/>
        </w:rPr>
      </w:pPr>
    </w:p>
    <w:p w:rsidR="00F827A2" w:rsidRDefault="00F827A2" w:rsidP="00F827A2">
      <w:pPr>
        <w:spacing w:after="160" w:line="259" w:lineRule="auto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1B" w:rsidRDefault="002E4D1B" w:rsidP="00762166">
      <w:r>
        <w:separator/>
      </w:r>
    </w:p>
  </w:endnote>
  <w:endnote w:type="continuationSeparator" w:id="0">
    <w:p w:rsidR="002E4D1B" w:rsidRDefault="002E4D1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1B" w:rsidRDefault="002E4D1B" w:rsidP="00762166">
      <w:r>
        <w:separator/>
      </w:r>
    </w:p>
  </w:footnote>
  <w:footnote w:type="continuationSeparator" w:id="0">
    <w:p w:rsidR="002E4D1B" w:rsidRDefault="002E4D1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b0ba5d6-b541-4075-912f-56bf9081a401"/>
  </w:docVars>
  <w:rsids>
    <w:rsidRoot w:val="005A376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4D1B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95465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1354"/>
    <w:rsid w:val="005A32F0"/>
    <w:rsid w:val="005A3768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2A1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27A2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F827A2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827A2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F827A2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827A2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e737265a-44fb-42cd-ad32-9bdbdf8aac7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e737265a-44fb-42cd-ad32-9bdbdf8aac7c.dot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2025-08-06T12:55:00Z</dcterms:created>
  <dcterms:modified xsi:type="dcterms:W3CDTF">2025-08-06T13:02:00Z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6b0ba5d6-b541-4075-912f-56bf9081a401</vt:lpwstr>
  </property>
</Properties>
</file>