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036E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036E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4028AE" w:rsidRDefault="004028AE" w:rsidP="004028AE">
      <w:pPr>
        <w:rPr>
          <w:sz w:val="24"/>
        </w:rPr>
      </w:pPr>
      <w:r>
        <w:rPr>
          <w:sz w:val="24"/>
        </w:rPr>
        <w:t xml:space="preserve">                                                    от 10/04/2026 № 1104</w:t>
      </w:r>
    </w:p>
    <w:p w:rsidR="004F3701" w:rsidRPr="00AF5D47" w:rsidRDefault="004F3701" w:rsidP="004F3701">
      <w:pPr>
        <w:tabs>
          <w:tab w:val="left" w:pos="4680"/>
        </w:tabs>
        <w:jc w:val="both"/>
        <w:rPr>
          <w:sz w:val="24"/>
          <w:szCs w:val="24"/>
        </w:rPr>
      </w:pPr>
    </w:p>
    <w:p w:rsidR="004F3701" w:rsidRPr="00AF5D47" w:rsidRDefault="004F3701" w:rsidP="004F3701">
      <w:pPr>
        <w:spacing w:line="0" w:lineRule="atLeast"/>
        <w:ind w:right="3401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</w:t>
      </w:r>
      <w:r w:rsidRPr="00AF5D47">
        <w:rPr>
          <w:sz w:val="24"/>
          <w:szCs w:val="24"/>
        </w:rPr>
        <w:t xml:space="preserve">Сосновоборского городского округа от 28.10.2016 № 2446 «Об утверждении </w:t>
      </w:r>
      <w:proofErr w:type="gramStart"/>
      <w:r w:rsidRPr="00AF5D47">
        <w:rPr>
          <w:sz w:val="24"/>
          <w:szCs w:val="24"/>
        </w:rPr>
        <w:t>Порядка проведения оценки качества финансового менеджмента главных распорядителей средств</w:t>
      </w:r>
      <w:proofErr w:type="gramEnd"/>
      <w:r w:rsidRPr="00AF5D47">
        <w:rPr>
          <w:sz w:val="24"/>
          <w:szCs w:val="24"/>
        </w:rPr>
        <w:t xml:space="preserve"> </w:t>
      </w:r>
    </w:p>
    <w:p w:rsidR="004F3701" w:rsidRPr="00AF5D47" w:rsidRDefault="004F3701" w:rsidP="004F3701">
      <w:pPr>
        <w:spacing w:line="0" w:lineRule="atLeast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местного бюджета Сосновоборского городского округа» </w:t>
      </w:r>
    </w:p>
    <w:p w:rsidR="004F3701" w:rsidRPr="00AF5D47" w:rsidRDefault="004F3701" w:rsidP="004F3701">
      <w:pPr>
        <w:jc w:val="both"/>
        <w:rPr>
          <w:sz w:val="24"/>
          <w:szCs w:val="24"/>
        </w:rPr>
      </w:pPr>
    </w:p>
    <w:p w:rsidR="004F3701" w:rsidRDefault="004F3701" w:rsidP="004F3701">
      <w:pPr>
        <w:jc w:val="both"/>
        <w:rPr>
          <w:sz w:val="24"/>
          <w:szCs w:val="24"/>
        </w:rPr>
      </w:pPr>
    </w:p>
    <w:p w:rsidR="004F3701" w:rsidRPr="00AF5D47" w:rsidRDefault="004F3701" w:rsidP="004F3701">
      <w:pPr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В соответствии с пунктом 6 статьи 160.2-1 Бюджетного Кодекса Российской Федерации и в целях совершенствования механизма проведения комитетом финансов Сосновоборского городского округа мониторинга качества финансового менеджмента </w:t>
      </w:r>
      <w:proofErr w:type="gramStart"/>
      <w:r w:rsidRPr="00AF5D47">
        <w:rPr>
          <w:sz w:val="24"/>
          <w:szCs w:val="24"/>
        </w:rPr>
        <w:t>в</w:t>
      </w:r>
      <w:proofErr w:type="gramEnd"/>
      <w:r w:rsidRPr="00AF5D47">
        <w:rPr>
          <w:sz w:val="24"/>
          <w:szCs w:val="24"/>
        </w:rPr>
        <w:t xml:space="preserve"> отношении главных распорядителей бюджетных средств местного бюджета Сосновоборского городского округа, главных администраторов доходов местного бюджета Сосновоборского городского округа, главных администраторов источников финансирования дефицита местного бюджета Сосновоборского городского округа, администрация Сосновоборского </w:t>
      </w:r>
      <w:r>
        <w:rPr>
          <w:sz w:val="24"/>
          <w:szCs w:val="24"/>
        </w:rPr>
        <w:t xml:space="preserve">городского округа </w:t>
      </w:r>
      <w:proofErr w:type="gramStart"/>
      <w:r w:rsidRPr="00AF5D47">
        <w:rPr>
          <w:b/>
          <w:sz w:val="24"/>
          <w:szCs w:val="24"/>
        </w:rPr>
        <w:t>п</w:t>
      </w:r>
      <w:proofErr w:type="gramEnd"/>
      <w:r w:rsidRPr="00AF5D47">
        <w:rPr>
          <w:b/>
          <w:sz w:val="24"/>
          <w:szCs w:val="24"/>
        </w:rPr>
        <w:t xml:space="preserve"> о с т а н о в л я е т</w:t>
      </w:r>
      <w:r w:rsidRPr="00AF5D47">
        <w:rPr>
          <w:sz w:val="24"/>
          <w:szCs w:val="24"/>
        </w:rPr>
        <w:t>: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1. Внести изменения в Порядок </w:t>
      </w:r>
      <w:proofErr w:type="gramStart"/>
      <w:r w:rsidRPr="00AF5D47">
        <w:rPr>
          <w:sz w:val="24"/>
          <w:szCs w:val="24"/>
        </w:rPr>
        <w:t>проведения мониторинга качества финансового менеджмента главных администраторов средств местного бюджета</w:t>
      </w:r>
      <w:proofErr w:type="gramEnd"/>
      <w:r w:rsidRPr="00AF5D47">
        <w:rPr>
          <w:sz w:val="24"/>
          <w:szCs w:val="24"/>
        </w:rPr>
        <w:t xml:space="preserve"> Сосновоборского городского округа, утвержденный постановлением администрации Сосновоборского городского округа от 28.10.2016 № 2446 «Об утверждении Порядка проведения оценки качества финансового менеджмента главных распорядителей средств местного бюджета Сосновоборского городского округа»: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1.1. Подпункт 3.1. пункта 3 изложить в следующей редакции: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«3.1. По результатам проведения мониторинга в отношении ГАБС Комитет финансов в срок до 8 апреля текущего года формирует предварительный отчет о результатах мониторинга, содержащий интегральные оценки качества финансового менеджмента ГАБС и направляет его в адрес оцениваемых ГАБС.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В случае обнаружения некорректного расчета индикаторов </w:t>
      </w:r>
      <w:r>
        <w:rPr>
          <w:sz w:val="24"/>
          <w:szCs w:val="24"/>
        </w:rPr>
        <w:t>о</w:t>
      </w:r>
      <w:r w:rsidRPr="00AF5D47">
        <w:rPr>
          <w:sz w:val="24"/>
          <w:szCs w:val="24"/>
        </w:rPr>
        <w:t xml:space="preserve">ценки ГАБС в течение </w:t>
      </w:r>
      <w:r>
        <w:rPr>
          <w:sz w:val="24"/>
          <w:szCs w:val="24"/>
        </w:rPr>
        <w:t xml:space="preserve">                     </w:t>
      </w:r>
      <w:r w:rsidRPr="00AF5D47">
        <w:rPr>
          <w:sz w:val="24"/>
          <w:szCs w:val="24"/>
        </w:rPr>
        <w:t>3 рабочих дней с момента направления в их адрес предварительного отчета, вправе направить в Комитет финансов свои замечания и предложения по результатам интегральных оценок качества финансового менеджмента ГАБС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Обращения ГАБС, поступившие в Комитет финансов без документального подтверждения исходных данных, используемых при расчете индикаторов, и позднее </w:t>
      </w:r>
      <w:r>
        <w:rPr>
          <w:sz w:val="24"/>
          <w:szCs w:val="24"/>
        </w:rPr>
        <w:t xml:space="preserve">                           </w:t>
      </w:r>
      <w:r w:rsidRPr="00AF5D47">
        <w:rPr>
          <w:sz w:val="24"/>
          <w:szCs w:val="24"/>
        </w:rPr>
        <w:t>3 рабочих дней с момента направления в их адрес предварительного отчета, а также обращения, относящиеся к пересмотру порядка проведения мониторинга качества финансового менеджмента, рассмотрению не подлежат.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По результатам анализа обращений ГАБС Комитет финансов в срок до 15 апреля текущего года формирует отчет о результатах мониторинга, содержащий: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а) интегральные оценки качества финансового менеджмента ГАБС;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lastRenderedPageBreak/>
        <w:t>б) рейтинг ГАБС по качеству финансового менеджмента в отчетном году;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в) информацию о степени качества финансового менеджмента ГАБС в отчетном году, в том числе выводы о высоком, надлежащем, ненадлежащем качестве финансового менеджмента</w:t>
      </w:r>
      <w:proofErr w:type="gramStart"/>
      <w:r w:rsidRPr="00AF5D47">
        <w:rPr>
          <w:sz w:val="24"/>
          <w:szCs w:val="24"/>
        </w:rPr>
        <w:t>.»</w:t>
      </w:r>
      <w:proofErr w:type="gramEnd"/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1.2. Изложить отраслевые (функциональные) органы администрации Сосновоборского городского округа, ответственные за предоставление данных, используемых для расчета </w:t>
      </w:r>
      <w:proofErr w:type="gramStart"/>
      <w:r w:rsidRPr="00AF5D47">
        <w:rPr>
          <w:sz w:val="24"/>
          <w:szCs w:val="24"/>
        </w:rPr>
        <w:t>значений показателей качества финансового менеджмента главных администраторов средств местного бюджета</w:t>
      </w:r>
      <w:proofErr w:type="gramEnd"/>
      <w:r w:rsidRPr="00AF5D47">
        <w:rPr>
          <w:sz w:val="24"/>
          <w:szCs w:val="24"/>
        </w:rPr>
        <w:t xml:space="preserve"> Сосновоборского городского округа (Приложение № 2 к порядку) в ново</w:t>
      </w:r>
      <w:r>
        <w:rPr>
          <w:sz w:val="24"/>
          <w:szCs w:val="24"/>
        </w:rPr>
        <w:t>й редакции, согласно Приложению № 1</w:t>
      </w:r>
      <w:r w:rsidRPr="00AF5D47">
        <w:rPr>
          <w:sz w:val="24"/>
          <w:szCs w:val="24"/>
        </w:rPr>
        <w:t xml:space="preserve"> к настоящему постановлению.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1.3. Изложить перечень данных для проведения </w:t>
      </w:r>
      <w:proofErr w:type="gramStart"/>
      <w:r w:rsidRPr="00AF5D47">
        <w:rPr>
          <w:sz w:val="24"/>
          <w:szCs w:val="24"/>
        </w:rPr>
        <w:t>мониторинга качества финансового менеджмента главных администраторов средств местного бюджета</w:t>
      </w:r>
      <w:proofErr w:type="gramEnd"/>
      <w:r w:rsidRPr="00AF5D47">
        <w:rPr>
          <w:sz w:val="24"/>
          <w:szCs w:val="24"/>
        </w:rPr>
        <w:t xml:space="preserve"> Сосновоборского городского округа от отдела внутреннего муниципального финансового контроля и внутреннего финансового аудита (Приложение № 8 к порядку) в нов</w:t>
      </w:r>
      <w:r>
        <w:rPr>
          <w:sz w:val="24"/>
          <w:szCs w:val="24"/>
        </w:rPr>
        <w:t>ой редакции, согласно П</w:t>
      </w:r>
      <w:r w:rsidRPr="00AF5D47">
        <w:rPr>
          <w:sz w:val="24"/>
          <w:szCs w:val="24"/>
        </w:rPr>
        <w:t xml:space="preserve">риложению </w:t>
      </w:r>
      <w:r>
        <w:rPr>
          <w:sz w:val="24"/>
          <w:szCs w:val="24"/>
        </w:rPr>
        <w:t>№ 2</w:t>
      </w:r>
      <w:r w:rsidRPr="00AF5D47">
        <w:rPr>
          <w:sz w:val="24"/>
          <w:szCs w:val="24"/>
        </w:rPr>
        <w:t xml:space="preserve"> к настоящему постановлению.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2. Отделу по связям с общественностью (пресс-центр) администрации </w:t>
      </w:r>
      <w:proofErr w:type="gramStart"/>
      <w:r w:rsidRPr="00AF5D47">
        <w:rPr>
          <w:sz w:val="24"/>
          <w:szCs w:val="24"/>
        </w:rPr>
        <w:t>разместить</w:t>
      </w:r>
      <w:proofErr w:type="gramEnd"/>
      <w:r w:rsidRPr="00AF5D47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>3. Общему отделу администрации обнародовать настоящее постановление на элек</w:t>
      </w:r>
      <w:r>
        <w:rPr>
          <w:sz w:val="24"/>
          <w:szCs w:val="24"/>
        </w:rPr>
        <w:t>тронном сайте городской газеты «Маяк»</w:t>
      </w:r>
      <w:r w:rsidRPr="00AF5D47">
        <w:rPr>
          <w:sz w:val="24"/>
          <w:szCs w:val="24"/>
        </w:rPr>
        <w:t>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4. Настоящее постановление вступает в силу со дня официального обнародования и применяется к правоотношениям по проведению </w:t>
      </w:r>
      <w:proofErr w:type="gramStart"/>
      <w:r w:rsidRPr="00AF5D47">
        <w:rPr>
          <w:sz w:val="24"/>
          <w:szCs w:val="24"/>
        </w:rPr>
        <w:t>оценки качества финансового менеджмента главных распорядителей средств местного бюджета</w:t>
      </w:r>
      <w:proofErr w:type="gramEnd"/>
      <w:r w:rsidRPr="00AF5D47">
        <w:rPr>
          <w:sz w:val="24"/>
          <w:szCs w:val="24"/>
        </w:rPr>
        <w:t xml:space="preserve"> Сосновоборского городского округа за 2025 год.</w:t>
      </w: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</w:p>
    <w:p w:rsidR="004F3701" w:rsidRPr="00AF5D47" w:rsidRDefault="004F3701" w:rsidP="004F3701">
      <w:pPr>
        <w:ind w:firstLine="709"/>
        <w:jc w:val="both"/>
        <w:rPr>
          <w:sz w:val="24"/>
          <w:szCs w:val="24"/>
        </w:rPr>
      </w:pPr>
      <w:r w:rsidRPr="00AF5D47">
        <w:rPr>
          <w:sz w:val="24"/>
          <w:szCs w:val="24"/>
        </w:rPr>
        <w:t xml:space="preserve">5. </w:t>
      </w:r>
      <w:proofErr w:type="gramStart"/>
      <w:r w:rsidRPr="00AF5D47">
        <w:rPr>
          <w:sz w:val="24"/>
          <w:szCs w:val="24"/>
        </w:rPr>
        <w:t>Контроль за</w:t>
      </w:r>
      <w:proofErr w:type="gramEnd"/>
      <w:r w:rsidRPr="00AF5D47">
        <w:rPr>
          <w:sz w:val="24"/>
          <w:szCs w:val="24"/>
        </w:rPr>
        <w:t xml:space="preserve"> исполнением настоящего постановления возложить на председателя комитета финансов </w:t>
      </w:r>
      <w:r w:rsidRPr="007C38E7">
        <w:rPr>
          <w:sz w:val="24"/>
          <w:szCs w:val="24"/>
        </w:rPr>
        <w:t>Сосновоборского городского округа</w:t>
      </w:r>
      <w:r w:rsidRPr="00AF5D47">
        <w:rPr>
          <w:sz w:val="24"/>
          <w:szCs w:val="24"/>
        </w:rPr>
        <w:t xml:space="preserve"> Попову Т.Р.</w:t>
      </w:r>
    </w:p>
    <w:p w:rsidR="004F3701" w:rsidRPr="00AF5D47" w:rsidRDefault="004F3701" w:rsidP="004F3701">
      <w:pPr>
        <w:jc w:val="both"/>
        <w:rPr>
          <w:sz w:val="24"/>
          <w:szCs w:val="24"/>
        </w:rPr>
      </w:pPr>
    </w:p>
    <w:p w:rsidR="004F3701" w:rsidRDefault="004F3701" w:rsidP="004F3701">
      <w:pPr>
        <w:jc w:val="both"/>
        <w:rPr>
          <w:color w:val="FF0000"/>
          <w:sz w:val="24"/>
          <w:szCs w:val="24"/>
        </w:rPr>
      </w:pPr>
    </w:p>
    <w:p w:rsidR="004F3701" w:rsidRPr="00AF5D47" w:rsidRDefault="004F3701" w:rsidP="004F3701">
      <w:pPr>
        <w:jc w:val="both"/>
        <w:rPr>
          <w:color w:val="FF0000"/>
          <w:sz w:val="24"/>
          <w:szCs w:val="24"/>
        </w:rPr>
      </w:pPr>
    </w:p>
    <w:p w:rsidR="004F3701" w:rsidRPr="00AF5D47" w:rsidRDefault="004F3701" w:rsidP="004F3701">
      <w:pPr>
        <w:rPr>
          <w:rFonts w:eastAsia="Calibri"/>
          <w:color w:val="FF0000"/>
          <w:sz w:val="24"/>
          <w:szCs w:val="24"/>
          <w:lang w:eastAsia="en-US"/>
        </w:rPr>
      </w:pPr>
      <w:r w:rsidRPr="007C38E7">
        <w:rPr>
          <w:sz w:val="24"/>
          <w:szCs w:val="24"/>
        </w:rPr>
        <w:t xml:space="preserve">Глава Сосновоборского городского округа                                </w:t>
      </w:r>
      <w:r>
        <w:rPr>
          <w:sz w:val="24"/>
          <w:szCs w:val="24"/>
        </w:rPr>
        <w:t xml:space="preserve">     </w:t>
      </w:r>
      <w:r w:rsidRPr="007C38E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</w:t>
      </w:r>
      <w:r w:rsidRPr="007C38E7">
        <w:rPr>
          <w:sz w:val="24"/>
          <w:szCs w:val="24"/>
        </w:rPr>
        <w:t>М.В. Воронков</w:t>
      </w:r>
    </w:p>
    <w:p w:rsidR="004F3701" w:rsidRPr="00AF5D47" w:rsidRDefault="004F3701" w:rsidP="004F3701">
      <w:pPr>
        <w:rPr>
          <w:rFonts w:eastAsia="Calibri"/>
          <w:color w:val="FF0000"/>
          <w:sz w:val="24"/>
          <w:szCs w:val="24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Default="004F3701" w:rsidP="004F3701">
      <w:pPr>
        <w:rPr>
          <w:rFonts w:eastAsia="Calibri"/>
          <w:color w:val="FF0000"/>
          <w:sz w:val="12"/>
          <w:szCs w:val="12"/>
          <w:lang w:eastAsia="en-US"/>
        </w:rPr>
      </w:pPr>
    </w:p>
    <w:p w:rsidR="004F3701" w:rsidRPr="00AF5D47" w:rsidRDefault="004F3701" w:rsidP="004F3701">
      <w:pPr>
        <w:rPr>
          <w:sz w:val="12"/>
          <w:szCs w:val="12"/>
        </w:rPr>
      </w:pPr>
    </w:p>
    <w:p w:rsidR="004F3701" w:rsidRDefault="004F3701" w:rsidP="004F3701">
      <w:pPr>
        <w:ind w:left="5103"/>
        <w:rPr>
          <w:sz w:val="24"/>
          <w:szCs w:val="24"/>
        </w:rPr>
      </w:pP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 w:rsidRPr="007C38E7">
        <w:rPr>
          <w:sz w:val="24"/>
          <w:szCs w:val="24"/>
        </w:rPr>
        <w:t>Сосновоборского городского округа</w:t>
      </w:r>
    </w:p>
    <w:p w:rsidR="004F3701" w:rsidRPr="00AF5D47" w:rsidRDefault="004028AE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F3701">
        <w:rPr>
          <w:sz w:val="24"/>
          <w:szCs w:val="24"/>
        </w:rPr>
        <w:t>т</w:t>
      </w:r>
      <w:r>
        <w:rPr>
          <w:sz w:val="24"/>
          <w:szCs w:val="24"/>
        </w:rPr>
        <w:t xml:space="preserve"> 10/04\2026 № 1104</w:t>
      </w:r>
    </w:p>
    <w:p w:rsidR="004F3701" w:rsidRPr="009412C2" w:rsidRDefault="004F3701" w:rsidP="004F3701">
      <w:pPr>
        <w:pStyle w:val="Pro-Gramma1"/>
        <w:spacing w:before="0" w:line="240" w:lineRule="auto"/>
        <w:ind w:left="0" w:firstLine="709"/>
        <w:jc w:val="center"/>
        <w:rPr>
          <w:rFonts w:ascii="Times New Roman" w:hAnsi="Times New Roman"/>
          <w:sz w:val="24"/>
        </w:rPr>
      </w:pPr>
    </w:p>
    <w:p w:rsidR="004F3701" w:rsidRPr="009412C2" w:rsidRDefault="004F3701" w:rsidP="004F3701">
      <w:pPr>
        <w:pStyle w:val="Pro-Gramma1"/>
        <w:spacing w:before="0" w:line="240" w:lineRule="auto"/>
        <w:ind w:left="0" w:firstLine="709"/>
        <w:jc w:val="center"/>
        <w:rPr>
          <w:rFonts w:ascii="Times New Roman" w:hAnsi="Times New Roman"/>
          <w:sz w:val="24"/>
        </w:rPr>
      </w:pP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 xml:space="preserve">Отраслевые (функциональные) органы 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 xml:space="preserve">администрации Сосновоборского городского округа, 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 xml:space="preserve">ответственные за предоставление данных, используемых для расчета значений показателей качества финансового менеджмента 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 xml:space="preserve">главных администраторов средств местного бюджета 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b/>
          <w:sz w:val="24"/>
        </w:rPr>
      </w:pPr>
      <w:r w:rsidRPr="009412C2">
        <w:rPr>
          <w:rFonts w:ascii="Times New Roman" w:hAnsi="Times New Roman"/>
          <w:b/>
          <w:sz w:val="24"/>
        </w:rPr>
        <w:t>Сосновоборского городского округа</w:t>
      </w:r>
    </w:p>
    <w:p w:rsidR="004F3701" w:rsidRPr="009412C2" w:rsidRDefault="004F3701" w:rsidP="004F3701">
      <w:pPr>
        <w:pStyle w:val="Pro-Gramma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2"/>
        <w:gridCol w:w="3479"/>
      </w:tblGrid>
      <w:tr w:rsidR="004F3701" w:rsidRPr="009412C2" w:rsidTr="00441452">
        <w:trPr>
          <w:trHeight w:val="222"/>
          <w:tblHeader/>
        </w:trPr>
        <w:tc>
          <w:tcPr>
            <w:tcW w:w="6282" w:type="dxa"/>
          </w:tcPr>
          <w:p w:rsidR="004F3701" w:rsidRPr="00426AFE" w:rsidRDefault="004F3701" w:rsidP="00441452">
            <w:pPr>
              <w:pStyle w:val="Pro-Tab"/>
              <w:spacing w:before="0" w:after="0"/>
              <w:ind w:left="5" w:hanging="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FE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 КФМ</w:t>
            </w:r>
          </w:p>
        </w:tc>
        <w:tc>
          <w:tcPr>
            <w:tcW w:w="3479" w:type="dxa"/>
          </w:tcPr>
          <w:p w:rsidR="004F3701" w:rsidRPr="00426AFE" w:rsidRDefault="004F3701" w:rsidP="00441452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FE">
              <w:rPr>
                <w:rFonts w:ascii="Times New Roman" w:hAnsi="Times New Roman"/>
                <w:bCs/>
                <w:sz w:val="24"/>
                <w:szCs w:val="24"/>
              </w:rPr>
              <w:t>Отраслевые (функциональные) органы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F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:rsidR="004F3701" w:rsidRPr="00426AFE" w:rsidRDefault="004F3701" w:rsidP="00441452">
            <w:pPr>
              <w:pStyle w:val="Pro-Tab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A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</w:t>
            </w:r>
            <w:proofErr w:type="gramStart"/>
            <w:r w:rsidRPr="00426AFE">
              <w:rPr>
                <w:sz w:val="24"/>
                <w:szCs w:val="24"/>
              </w:rPr>
              <w:t>1</w:t>
            </w:r>
            <w:proofErr w:type="gramEnd"/>
            <w:r w:rsidRPr="00426AFE">
              <w:rPr>
                <w:sz w:val="24"/>
                <w:szCs w:val="24"/>
              </w:rPr>
              <w:t>. Процент своевременно представленных ГАБС документов и материалов по расходам для составления проекта местного бюджета Сосновоборского городского округа на очередной финансовый год и плановый период</w:t>
            </w:r>
          </w:p>
        </w:tc>
        <w:tc>
          <w:tcPr>
            <w:tcW w:w="3479" w:type="dxa"/>
          </w:tcPr>
          <w:p w:rsidR="004F3701" w:rsidRPr="00426AFE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6AFE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426AFE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</w:t>
            </w:r>
            <w:proofErr w:type="gramStart"/>
            <w:r w:rsidRPr="00426AFE">
              <w:rPr>
                <w:sz w:val="24"/>
                <w:szCs w:val="24"/>
              </w:rPr>
              <w:t>2</w:t>
            </w:r>
            <w:proofErr w:type="gramEnd"/>
            <w:r w:rsidRPr="00426AFE">
              <w:rPr>
                <w:sz w:val="24"/>
                <w:szCs w:val="24"/>
              </w:rPr>
              <w:t>. Число случаев несвоевременного представления ГАБС предложений (таблиц поправок) по расходам при подготовке проекта решения совета депутатов СГО «О внесении изменения в решение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3479" w:type="dxa"/>
          </w:tcPr>
          <w:p w:rsidR="004F3701" w:rsidRPr="00426AFE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6AFE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426AFE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P3. Число случаев несвоевременного внесения ГАБС изменений в автоматизированной системе "АЦК-Планирование" в сводную бюджетную роспись в соответствии с решением совета депутатов СГО «О внесении изменения в решение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</w:t>
            </w:r>
            <w:proofErr w:type="gramStart"/>
            <w:r w:rsidRPr="00426AFE">
              <w:rPr>
                <w:sz w:val="24"/>
                <w:szCs w:val="24"/>
              </w:rPr>
              <w:t>4</w:t>
            </w:r>
            <w:proofErr w:type="gramEnd"/>
            <w:r w:rsidRPr="00426AFE">
              <w:rPr>
                <w:sz w:val="24"/>
                <w:szCs w:val="24"/>
              </w:rPr>
              <w:t xml:space="preserve">. Число случаев несвоевременного предоставления ГАБС реестра расходных обязательств в Комитет финансов 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1174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Р5. Процент принятых форм обоснований бюджетных ассигнований, представленных ГАБС при разработке проекта местного бюджета Сосновоборского городского округа  на очередной финансовый год и плановый период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</w:t>
            </w:r>
            <w:proofErr w:type="gramStart"/>
            <w:r w:rsidRPr="00426AFE">
              <w:rPr>
                <w:sz w:val="24"/>
                <w:szCs w:val="24"/>
              </w:rPr>
              <w:t>6</w:t>
            </w:r>
            <w:proofErr w:type="gramEnd"/>
            <w:r w:rsidRPr="00426AFE">
              <w:rPr>
                <w:sz w:val="24"/>
                <w:szCs w:val="24"/>
              </w:rPr>
              <w:t>. Соотношение суммы изменений, внесенных ГАБС в сводную бюджетную роспись местного бюджета Сосновоборского городского округа в соответствии с принятыми изменениями в решение совета депутатов СГО «О бюджете Сосновоборского городского округа на текущий год и на плановый период» и общего объема бюджетных ассигнований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</w:t>
            </w:r>
            <w:proofErr w:type="gramStart"/>
            <w:r w:rsidRPr="00426AFE">
              <w:rPr>
                <w:sz w:val="24"/>
                <w:szCs w:val="24"/>
              </w:rPr>
              <w:t>7</w:t>
            </w:r>
            <w:proofErr w:type="gramEnd"/>
            <w:r w:rsidRPr="00426AFE">
              <w:rPr>
                <w:sz w:val="24"/>
                <w:szCs w:val="24"/>
              </w:rPr>
              <w:t xml:space="preserve">. Наличие случаев принятия ГАБС и муниципальными казенными учреждениями, в отношении которых ГАБС осуществляет полномочия ГРБС, бюджетных </w:t>
            </w:r>
            <w:r w:rsidRPr="00426AFE">
              <w:rPr>
                <w:sz w:val="24"/>
                <w:szCs w:val="24"/>
              </w:rPr>
              <w:lastRenderedPageBreak/>
              <w:t>обязательств, возникших на основании договоров или муниципальных контрактов, заключенных с превышением размера авансового платежа, установленного нормами действующего федерального и регионального законодательства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lastRenderedPageBreak/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lastRenderedPageBreak/>
              <w:t>Р8. Наличие случаев направления в Комитет финансов для целей учета бюджетных обязательств, возникших на основании договоров или муниципальных контрактов, заключенных после первого декабря отчетного года, с указанием сроков оплаты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</w:t>
            </w:r>
            <w:proofErr w:type="gramStart"/>
            <w:r w:rsidRPr="00426AFE">
              <w:rPr>
                <w:sz w:val="24"/>
                <w:szCs w:val="24"/>
              </w:rPr>
              <w:t>9</w:t>
            </w:r>
            <w:proofErr w:type="gramEnd"/>
            <w:r w:rsidRPr="00426AFE">
              <w:rPr>
                <w:sz w:val="24"/>
                <w:szCs w:val="24"/>
              </w:rPr>
              <w:t>. Число случаев несвоевременного предоставления ГАБС информации для внесения в реестр участников бюджетного процесса, а также юридических лиц, не являющихся участниками бюджетного процесса Сосновоборского городского округа (далее - Сводный реестр)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Р10. Соотношение кассовых расходов и плановых объемов бюджетных ассигнований ГАБС в отчетном году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Р11. Процент принятых Комитетом финансов заявок на оплату расходов ГАБС и муниципальных казенных учреждений, в отношении которых ГАБС осуществляет полномочия ГРБС, при осуществлении процедуры санкционирования расходов за счет средств местного бюджета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Р12. Количество полученных ГАБС уведомлений о приостановлении операций по расходованию средств на лицевых счетах в связи с нарушением процедур исполнения судебных актов, предусматривающих обращение взыскания на средства местного бюджета Сосновоборского городского округа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Р13. Отношение просроченной кредиторской задолженности ГАБС и подведомственных ему муниципальных казенных учреждений к объему бюджетных расходов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Р14. Среднемесячный процент отклонения планируемых и фактических перечислений ГАБС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 xml:space="preserve">Р15. Число случаев несвоевременного представления ГАБС </w:t>
            </w:r>
            <w:proofErr w:type="gramStart"/>
            <w:r w:rsidRPr="00426AFE">
              <w:rPr>
                <w:sz w:val="24"/>
                <w:szCs w:val="24"/>
              </w:rPr>
              <w:t>ежемесячной</w:t>
            </w:r>
            <w:proofErr w:type="gramEnd"/>
            <w:r w:rsidRPr="00426AFE">
              <w:rPr>
                <w:sz w:val="24"/>
                <w:szCs w:val="24"/>
              </w:rPr>
              <w:t>, квартальной,</w:t>
            </w:r>
          </w:p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proofErr w:type="gramStart"/>
            <w:r w:rsidRPr="00426AFE">
              <w:rPr>
                <w:sz w:val="24"/>
                <w:szCs w:val="24"/>
              </w:rPr>
              <w:t>годовой</w:t>
            </w:r>
            <w:proofErr w:type="gramEnd"/>
            <w:r w:rsidRPr="00426AFE">
              <w:rPr>
                <w:sz w:val="24"/>
                <w:szCs w:val="24"/>
              </w:rPr>
              <w:t xml:space="preserve"> отчетностей об исполнении местного бюджета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16"/>
              </w:rPr>
            </w:pPr>
            <w:r w:rsidRPr="00426AFE">
              <w:rPr>
                <w:sz w:val="24"/>
                <w:szCs w:val="24"/>
              </w:rPr>
              <w:t>P15.1. Число случаев несвоевременного представления ГАБС аналитических записок об исполнении расходной части местного бюджета Сосновоборского городского округа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Р16. Процент форм годовой бюджетной отчетности, представленной ГАБС без ошибок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 xml:space="preserve">P17. Число случаев нарушения ГАБС бюджетного </w:t>
            </w:r>
            <w:r w:rsidRPr="00426AFE">
              <w:rPr>
                <w:sz w:val="24"/>
                <w:szCs w:val="24"/>
              </w:rPr>
              <w:lastRenderedPageBreak/>
              <w:t>законодательства, выявленных при осуществлении внешнего и внутреннего муниципального финансового контроля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внутреннего муниципального финансового </w:t>
            </w:r>
            <w:r w:rsidRPr="00AF5D47">
              <w:rPr>
                <w:rFonts w:ascii="Times New Roman" w:hAnsi="Times New Roman"/>
                <w:sz w:val="24"/>
                <w:szCs w:val="24"/>
              </w:rPr>
              <w:lastRenderedPageBreak/>
              <w:t>контроля и внутреннего финансового аудита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lastRenderedPageBreak/>
              <w:t xml:space="preserve">Р18. Количество судебных актов по искам к </w:t>
            </w:r>
            <w:proofErr w:type="spellStart"/>
            <w:r w:rsidRPr="00426AFE">
              <w:rPr>
                <w:sz w:val="24"/>
                <w:szCs w:val="24"/>
              </w:rPr>
              <w:t>Сосновоборскому</w:t>
            </w:r>
            <w:proofErr w:type="spellEnd"/>
            <w:r w:rsidRPr="00426AFE">
              <w:rPr>
                <w:sz w:val="24"/>
                <w:szCs w:val="24"/>
              </w:rPr>
              <w:t xml:space="preserve"> городскому округу о возмещении вреда, причиненного гражданину или юридическому лицу в результате незаконных действий (бездействия) ГАБС либо должностных лиц ГАБС, и о присуждении компенсации за нарушение права на судопроизводство в разумный срок или права на исполнение судебного акта в разумный срок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Юридический отдел администрации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P18.1. Наличие случаев направления с нарушением сроков, установленных порядком завершения операций по исполнению местного бюджета Сосновоборского городского округа в отчетном году, заявок на оплату расходов ГАБС и муниципальных казенных учреждений, в отношении которых ГАБС осуществляет полномочия ГРБС, исполненных Комитетом финансов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426AFE">
              <w:rPr>
                <w:rFonts w:ascii="Times New Roman" w:hAnsi="Times New Roman"/>
                <w:sz w:val="24"/>
                <w:szCs w:val="24"/>
              </w:rPr>
              <w:t>P19. Число случаев внесения изменений в муниципальные программы, по которым ГАБС выступал ответственным исполнителем, с нарушением установленных нормативными правовыми актами сроков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экономического развития администрации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P20. Количество принятых к исполнению судебных актов о взыскании с муниципальных казенных учреждений, в отношении которых ГАБС осуществляет полномочия ГРБС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 xml:space="preserve">Юридический отдел администрации 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P21. Количество решений налогового органа о взыскании с муниципальных казенных учреждений, в отношении которых ГАБС осуществляет полномочия ГРБС,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  <w:shd w:val="clear" w:color="auto" w:fill="auto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P22. Процент муниципальных казенных учреждений, в отношении которых ГАБС осуществляет полномочия ГРБС, для которых бюджетные сметы были утверждены (согласованы) ГАБС в установленные сроки</w:t>
            </w:r>
          </w:p>
        </w:tc>
        <w:tc>
          <w:tcPr>
            <w:tcW w:w="3479" w:type="dxa"/>
            <w:shd w:val="clear" w:color="auto" w:fill="auto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P23. Процент муниципальных казенных учреждений, в отношении которых ГАБС осуществляет полномочия ГРБС, информация о которых своевременно и в полном объеме размещена на официальном сайте в сети Интернет www.bus.gov.ru в соответствии с требованиями приказа Министерства финансов Российской Федерации от 21 июля 2011 года №86н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P24. Процент муниципальных заданий на оказание муниципальных услуг (выполнение работ), утвержденных для муниципальных бюджетных и автономных учреждений, в отношении которых ГАБС осуществляет полномочия учредителя, на отчетный год в установленные сроки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ГАБС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lastRenderedPageBreak/>
              <w:t>P25. Процент муниципальных бюджетных и автономных учреждений, в отношении которых ГАБС осуществляет полномочия учредителя, для которых планы финансово-хозяйственной деятельности были утверждены (согласованы) ГАБС в установленные сроки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P26. Процент соглашений о предоставлении субсидий на выполнение муниципальных заданий, заключенных в установленные сроки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Р27. Процент форм годовой бухгалтерской отчетности, представленной ГАБС без ошибок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P28. Процент муниципальных бюджетных и автономных учреждений, в отношении которых ГАБС осуществляет полномочия учредителя, информация о которых своевременно и в полном объеме размещена на официальном сайте в сети Интернет www.bus.gov.ru в соответствии с требованиями приказа Министерства финансов Российской Федерации от 21 июля 2011 года №86н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22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P29. Процент достижения ГАБС значений результатов использования субсидий, предусмотренных соглашениями о предоставлении субсидий (за счет областных средств)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 xml:space="preserve">ГАБС </w:t>
            </w:r>
          </w:p>
        </w:tc>
      </w:tr>
      <w:tr w:rsidR="004F3701" w:rsidRPr="009412C2" w:rsidTr="00441452">
        <w:trPr>
          <w:trHeight w:val="1801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 xml:space="preserve">P30. </w:t>
            </w:r>
            <w:proofErr w:type="gramStart"/>
            <w:r w:rsidRPr="00426AFE">
              <w:rPr>
                <w:sz w:val="24"/>
                <w:szCs w:val="24"/>
              </w:rPr>
              <w:t>Сумма средств, перечисленных из бюджета Сосновоборского городского округа в связи с выявлением фактов нарушения условий предоставления (расходования) и (или) нецелевого использования субсидий и (или) иных межбюджетных трансфертов, предоставленных из областного бюджетов</w:t>
            </w:r>
            <w:proofErr w:type="gramEnd"/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1246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Р31. Процент своевременно представленных ГАДБ  документов и материалов по доходам для составления проекта местного бюджета Сосновоборского городского округа на очередной финансовый год и плановый период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1689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Р32. Число случаев несвоевременного представления ГАДБ  предложений по доходам при подготовке проекта решения совета депутатов СГО «О внесении изменения проекта решения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848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P33. Процент выполнения первоначального плана по поступлению доходов местного бюджета, закрепленных за ГАДБ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452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Р34. Процент своевременно представленных ГАБС документов и материалов по источникам финансирования дефицита для составления проекта местного бюджета Сосновоборского городского округа на очередной финансовый год и плановый период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496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 xml:space="preserve">Р35. Число случаев несвоевременного представления </w:t>
            </w:r>
            <w:r w:rsidRPr="00426AFE">
              <w:rPr>
                <w:sz w:val="24"/>
                <w:szCs w:val="24"/>
              </w:rPr>
              <w:lastRenderedPageBreak/>
              <w:t>ГАБС предложений по источникам финансирования дефицита при подготовке проекта решения совета депутатов СГО «О внесении изменения в решение совета депутатов «О бюджете Сосновоборского городского округа на текущий год и на плановый период»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Сектор доходов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комитета финансов</w:t>
            </w:r>
          </w:p>
        </w:tc>
      </w:tr>
      <w:tr w:rsidR="004F3701" w:rsidRPr="009412C2" w:rsidTr="00441452">
        <w:trPr>
          <w:trHeight w:val="655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lastRenderedPageBreak/>
              <w:t>Р36. Число случаев несвоевременного исполнения обязательств за счет источников финансирования дефицита повлекшие за собой начисление штрафных санкций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казначейского исполнения бюджета комитета финансов</w:t>
            </w:r>
          </w:p>
        </w:tc>
      </w:tr>
      <w:tr w:rsidR="004F3701" w:rsidRPr="009412C2" w:rsidTr="00441452">
        <w:trPr>
          <w:trHeight w:val="1280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Р37. Наличие объектов незавершенного строительства, плановый срок окончания которых истек ранее года, предшествующего отчетному году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4F3701" w:rsidRPr="009412C2" w:rsidTr="00441452">
        <w:trPr>
          <w:trHeight w:val="1765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Р38. Отношение просроченной дебиторской задолженности ГАБС и муниципальных казенных учреждений, в отношении которых ГАБС осуществляет полномочия ГРБС, к объему бюджетных расходов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1346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Р39. Процент документов ГАБС и муниципальных казенных учреждений, в отношении которых ГАБС осуществляет полномочия ГРБС, прошедших контроль в сфере закупок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 xml:space="preserve">Отдел казначейского исполнения бюджета комитета финансов и </w:t>
            </w: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  <w:tr w:rsidR="004F3701" w:rsidRPr="009412C2" w:rsidTr="00441452">
        <w:trPr>
          <w:trHeight w:val="1707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Р40. Количество административных штрафов, наложенных на должностных лиц ГАБС и государственных казенных учреждений, в отношении которых ГАБС осуществляет полномочия ГРБС, за нарушение законодательства о контрактной системе в сфере закупок.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Отдел учёта и отчётности</w:t>
            </w:r>
          </w:p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F5D47">
              <w:rPr>
                <w:rFonts w:ascii="Times New Roman" w:hAnsi="Times New Roman"/>
                <w:sz w:val="24"/>
                <w:szCs w:val="24"/>
              </w:rPr>
              <w:t>Комитета финансов</w:t>
            </w:r>
          </w:p>
        </w:tc>
      </w:tr>
      <w:tr w:rsidR="004F3701" w:rsidRPr="009412C2" w:rsidTr="00441452">
        <w:trPr>
          <w:trHeight w:val="1707"/>
        </w:trPr>
        <w:tc>
          <w:tcPr>
            <w:tcW w:w="6282" w:type="dxa"/>
          </w:tcPr>
          <w:p w:rsidR="004F3701" w:rsidRPr="00426AFE" w:rsidRDefault="004F3701" w:rsidP="00441452">
            <w:pPr>
              <w:spacing w:before="40" w:after="40"/>
              <w:rPr>
                <w:sz w:val="24"/>
                <w:szCs w:val="24"/>
              </w:rPr>
            </w:pPr>
            <w:r w:rsidRPr="00426AFE">
              <w:rPr>
                <w:sz w:val="24"/>
                <w:szCs w:val="24"/>
              </w:rPr>
              <w:t>Р41. Процент экономии бюджетных ассигнований на закупки по результатам проведения конкурентных способов определения поставщиков (подрядчиков, исполнителей)</w:t>
            </w:r>
          </w:p>
        </w:tc>
        <w:tc>
          <w:tcPr>
            <w:tcW w:w="3479" w:type="dxa"/>
          </w:tcPr>
          <w:p w:rsidR="004F3701" w:rsidRPr="00AF5D47" w:rsidRDefault="004F3701" w:rsidP="00441452">
            <w:pPr>
              <w:pStyle w:val="Pro-Tab"/>
              <w:spacing w:before="0" w:after="0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AF5D47">
              <w:rPr>
                <w:rFonts w:ascii="Times New Roman" w:hAnsi="Times New Roman"/>
                <w:sz w:val="24"/>
                <w:szCs w:val="24"/>
              </w:rPr>
              <w:t>Бюджетный</w:t>
            </w:r>
            <w:proofErr w:type="gramEnd"/>
            <w:r w:rsidRPr="00AF5D47">
              <w:rPr>
                <w:rFonts w:ascii="Times New Roman" w:hAnsi="Times New Roman"/>
                <w:sz w:val="24"/>
                <w:szCs w:val="24"/>
              </w:rPr>
              <w:t xml:space="preserve"> отдел комитета финансов</w:t>
            </w:r>
          </w:p>
        </w:tc>
      </w:tr>
    </w:tbl>
    <w:p w:rsidR="004F3701" w:rsidRPr="009412C2" w:rsidRDefault="004F3701" w:rsidP="004F3701">
      <w:pPr>
        <w:spacing w:after="200" w:line="276" w:lineRule="auto"/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rPr>
          <w:color w:val="FF0000"/>
        </w:rPr>
      </w:pPr>
    </w:p>
    <w:p w:rsidR="004F3701" w:rsidRDefault="004F3701" w:rsidP="004F3701">
      <w:pPr>
        <w:ind w:left="6663" w:hanging="1560"/>
        <w:rPr>
          <w:sz w:val="24"/>
          <w:szCs w:val="24"/>
        </w:rPr>
      </w:pPr>
    </w:p>
    <w:p w:rsidR="00891785" w:rsidRDefault="00891785" w:rsidP="004F3701">
      <w:pPr>
        <w:ind w:left="5103"/>
        <w:jc w:val="right"/>
        <w:rPr>
          <w:sz w:val="24"/>
          <w:szCs w:val="24"/>
        </w:rPr>
      </w:pP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 № 2</w:t>
      </w: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F3701" w:rsidRDefault="004F3701" w:rsidP="004F3701">
      <w:pPr>
        <w:ind w:left="5103"/>
        <w:jc w:val="right"/>
        <w:rPr>
          <w:sz w:val="24"/>
          <w:szCs w:val="24"/>
        </w:rPr>
      </w:pPr>
      <w:r w:rsidRPr="007C38E7">
        <w:rPr>
          <w:sz w:val="24"/>
          <w:szCs w:val="24"/>
        </w:rPr>
        <w:t>Сосновоборского городского округа</w:t>
      </w:r>
    </w:p>
    <w:p w:rsidR="004F3701" w:rsidRPr="00AF5D47" w:rsidRDefault="004028AE" w:rsidP="004F3701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F3701">
        <w:rPr>
          <w:sz w:val="24"/>
          <w:szCs w:val="24"/>
        </w:rPr>
        <w:t>т</w:t>
      </w:r>
      <w:r>
        <w:rPr>
          <w:sz w:val="24"/>
          <w:szCs w:val="24"/>
        </w:rPr>
        <w:t xml:space="preserve"> 10/04\2026 № 1104</w:t>
      </w: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>ПЕРЕЧЕНЬ</w:t>
      </w: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 xml:space="preserve">данных для проведения мониторинга качества </w:t>
      </w: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 xml:space="preserve">финансового менеджмента главных администраторов </w:t>
      </w: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>средств местного бюджета Сосновоборского городского округа</w:t>
      </w:r>
    </w:p>
    <w:p w:rsidR="004F3701" w:rsidRPr="004F3701" w:rsidRDefault="004F3701" w:rsidP="004F3701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F3701">
        <w:rPr>
          <w:rFonts w:eastAsia="Calibri"/>
          <w:b/>
          <w:sz w:val="24"/>
          <w:szCs w:val="24"/>
          <w:lang w:eastAsia="en-US"/>
        </w:rPr>
        <w:t xml:space="preserve"> от отдела внутреннего муниципального финансового контроля и внутреннего финансового аудита</w:t>
      </w:r>
    </w:p>
    <w:p w:rsidR="004F3701" w:rsidRPr="004F3701" w:rsidRDefault="004F3701" w:rsidP="004F3701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4F3701">
        <w:rPr>
          <w:rFonts w:eastAsia="Calibri"/>
          <w:sz w:val="24"/>
          <w:szCs w:val="24"/>
          <w:lang w:eastAsia="en-US"/>
        </w:rPr>
        <w:t>Дата заполнения     "_____" _________________ 20__ г.</w:t>
      </w:r>
    </w:p>
    <w:p w:rsidR="004F3701" w:rsidRPr="004F3701" w:rsidRDefault="004F3701" w:rsidP="004F3701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4F3701">
        <w:rPr>
          <w:rFonts w:eastAsia="Calibri"/>
          <w:sz w:val="24"/>
          <w:szCs w:val="24"/>
          <w:lang w:eastAsia="en-US"/>
        </w:rPr>
        <w:t>__________________________________________________________________</w:t>
      </w: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center"/>
        <w:rPr>
          <w:rFonts w:eastAsia="Calibri"/>
          <w:lang w:eastAsia="en-US"/>
        </w:rPr>
      </w:pPr>
      <w:r w:rsidRPr="004F3701">
        <w:rPr>
          <w:rFonts w:eastAsia="Calibri"/>
          <w:lang w:eastAsia="en-US"/>
        </w:rPr>
        <w:t>(наименование отраслевого (функционального) органа администрации Сосновоборского городского округа)</w:t>
      </w:r>
    </w:p>
    <w:p w:rsidR="004F3701" w:rsidRPr="004F3701" w:rsidRDefault="004F3701" w:rsidP="004F37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924" w:type="dxa"/>
        <w:tblCellSpacing w:w="5" w:type="nil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5"/>
        <w:gridCol w:w="1134"/>
        <w:gridCol w:w="1134"/>
        <w:gridCol w:w="2916"/>
        <w:gridCol w:w="1985"/>
      </w:tblGrid>
      <w:tr w:rsidR="004F3701" w:rsidRPr="009412C2" w:rsidTr="00441452">
        <w:trPr>
          <w:trHeight w:val="1050"/>
          <w:tblCellSpacing w:w="5" w:type="nil"/>
        </w:trPr>
        <w:tc>
          <w:tcPr>
            <w:tcW w:w="275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показателя КФМ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ГАБС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 xml:space="preserve">Единицы </w:t>
            </w:r>
            <w:r w:rsidRPr="004F3701">
              <w:rPr>
                <w:rFonts w:eastAsia="Calibri"/>
                <w:sz w:val="24"/>
                <w:szCs w:val="24"/>
                <w:lang w:eastAsia="en-US"/>
              </w:rPr>
              <w:br/>
              <w:t>измерения</w:t>
            </w:r>
          </w:p>
        </w:tc>
        <w:tc>
          <w:tcPr>
            <w:tcW w:w="2916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 xml:space="preserve">Источник   </w:t>
            </w:r>
            <w:r w:rsidRPr="004F3701">
              <w:rPr>
                <w:rFonts w:eastAsia="Calibri"/>
                <w:sz w:val="24"/>
                <w:szCs w:val="24"/>
                <w:lang w:eastAsia="en-US"/>
              </w:rPr>
              <w:br/>
              <w:t>информации</w:t>
            </w: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 xml:space="preserve">Значение  </w:t>
            </w:r>
            <w:r w:rsidRPr="004F3701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</w:tr>
      <w:tr w:rsidR="004F3701" w:rsidRPr="009412C2" w:rsidTr="00441452">
        <w:trPr>
          <w:trHeight w:val="290"/>
          <w:tblCellSpacing w:w="5" w:type="nil"/>
        </w:trPr>
        <w:tc>
          <w:tcPr>
            <w:tcW w:w="275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hanging="7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16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F370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4F3701" w:rsidRPr="009412C2" w:rsidTr="00441452">
        <w:trPr>
          <w:trHeight w:val="437"/>
          <w:tblCellSpacing w:w="5" w:type="nil"/>
        </w:trPr>
        <w:tc>
          <w:tcPr>
            <w:tcW w:w="2755" w:type="dxa"/>
            <w:vMerge w:val="restart"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  <w:r w:rsidRPr="009412C2">
              <w:rPr>
                <w:sz w:val="24"/>
                <w:szCs w:val="24"/>
              </w:rPr>
              <w:t xml:space="preserve">P17. Число случаев нарушения ГАБС бюджетного законодательства, выявленных при осуществлении внешнего и внутреннего муниципального финансового контроля </w:t>
            </w: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001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429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003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407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007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379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012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461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015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4F3701" w:rsidRPr="009412C2" w:rsidTr="00441452">
        <w:trPr>
          <w:trHeight w:val="411"/>
          <w:tblCellSpacing w:w="5" w:type="nil"/>
        </w:trPr>
        <w:tc>
          <w:tcPr>
            <w:tcW w:w="2755" w:type="dxa"/>
            <w:vMerge/>
          </w:tcPr>
          <w:p w:rsidR="004F3701" w:rsidRPr="009412C2" w:rsidRDefault="004F3701" w:rsidP="0044145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016</w:t>
            </w:r>
          </w:p>
        </w:tc>
        <w:tc>
          <w:tcPr>
            <w:tcW w:w="1134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F3701">
              <w:rPr>
                <w:rFonts w:eastAsia="Calibri"/>
                <w:lang w:eastAsia="en-US"/>
              </w:rPr>
              <w:t>количество</w:t>
            </w:r>
          </w:p>
        </w:tc>
        <w:tc>
          <w:tcPr>
            <w:tcW w:w="2916" w:type="dxa"/>
            <w:vAlign w:val="center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F3701" w:rsidRPr="004F3701" w:rsidRDefault="004F3701" w:rsidP="0044145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F3701" w:rsidRPr="009412C2" w:rsidRDefault="004F3701" w:rsidP="004F3701">
      <w:pPr>
        <w:pStyle w:val="Pro-Gramma"/>
        <w:ind w:left="6237"/>
        <w:rPr>
          <w:rFonts w:ascii="Times New Roman" w:hAnsi="Times New Roman"/>
        </w:rPr>
      </w:pPr>
    </w:p>
    <w:p w:rsidR="004F3701" w:rsidRPr="00AF5D47" w:rsidRDefault="004F3701" w:rsidP="004F3701">
      <w:pPr>
        <w:rPr>
          <w:sz w:val="24"/>
          <w:szCs w:val="24"/>
        </w:rPr>
      </w:pPr>
    </w:p>
    <w:p w:rsidR="004F3701" w:rsidRDefault="004F3701" w:rsidP="004F3701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AB" w:rsidRDefault="004F76AB" w:rsidP="00762166">
      <w:r>
        <w:separator/>
      </w:r>
    </w:p>
  </w:endnote>
  <w:endnote w:type="continuationSeparator" w:id="0">
    <w:p w:rsidR="004F76AB" w:rsidRDefault="004F76A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AE" w:rsidRDefault="004028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AE" w:rsidRDefault="004028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AE" w:rsidRDefault="004028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AB" w:rsidRDefault="004F76AB" w:rsidP="00762166">
      <w:r>
        <w:separator/>
      </w:r>
    </w:p>
  </w:footnote>
  <w:footnote w:type="continuationSeparator" w:id="0">
    <w:p w:rsidR="004F76AB" w:rsidRDefault="004F76A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AE" w:rsidRDefault="004028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AE" w:rsidRDefault="004028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54d3a68-5762-4aa2-b2a3-6867854d5257"/>
  </w:docVars>
  <w:rsids>
    <w:rsidRoot w:val="004F370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036E5"/>
    <w:rsid w:val="002246F2"/>
    <w:rsid w:val="002265BD"/>
    <w:rsid w:val="00231C5B"/>
    <w:rsid w:val="00242E58"/>
    <w:rsid w:val="0024760B"/>
    <w:rsid w:val="00260717"/>
    <w:rsid w:val="002B5888"/>
    <w:rsid w:val="002D3D90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028AE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3701"/>
    <w:rsid w:val="004F76AB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1785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2FD4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Pro-Gramma">
    <w:name w:val="Pro-Gramma"/>
    <w:basedOn w:val="a"/>
    <w:link w:val="Pro-Gramma0"/>
    <w:qFormat/>
    <w:rsid w:val="004F3701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4F3701"/>
    <w:rPr>
      <w:rFonts w:ascii="Georgia" w:eastAsia="Times New Roman" w:hAnsi="Georgia"/>
      <w:szCs w:val="24"/>
    </w:rPr>
  </w:style>
  <w:style w:type="paragraph" w:customStyle="1" w:styleId="Pro-Tab">
    <w:name w:val="Pro-Tab"/>
    <w:basedOn w:val="Pro-Gramma"/>
    <w:rsid w:val="004F3701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Gramma1">
    <w:name w:val="Pro-Gramma #"/>
    <w:basedOn w:val="Pro-Gramma"/>
    <w:qFormat/>
    <w:rsid w:val="004F3701"/>
    <w:pPr>
      <w:tabs>
        <w:tab w:val="left" w:pos="1134"/>
      </w:tabs>
      <w:ind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Pro-Gramma">
    <w:name w:val="Pro-Gramma"/>
    <w:basedOn w:val="a"/>
    <w:link w:val="Pro-Gramma0"/>
    <w:qFormat/>
    <w:rsid w:val="004F3701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4F3701"/>
    <w:rPr>
      <w:rFonts w:ascii="Georgia" w:eastAsia="Times New Roman" w:hAnsi="Georgia"/>
      <w:szCs w:val="24"/>
    </w:rPr>
  </w:style>
  <w:style w:type="paragraph" w:customStyle="1" w:styleId="Pro-Tab">
    <w:name w:val="Pro-Tab"/>
    <w:basedOn w:val="Pro-Gramma"/>
    <w:rsid w:val="004F3701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Gramma1">
    <w:name w:val="Pro-Gramma #"/>
    <w:basedOn w:val="Pro-Gramma"/>
    <w:qFormat/>
    <w:rsid w:val="004F3701"/>
    <w:pPr>
      <w:tabs>
        <w:tab w:val="left" w:pos="1134"/>
      </w:tabs>
      <w:ind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36721b4-2283-4da5-98d7-523e05f7dfb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936721b4-2283-4da5-98d7-523e05f7dfb7.dot</Template>
  <TotalTime>1</TotalTime>
  <Pages>8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2026-04-10T11:12:00Z</cp:lastPrinted>
  <dcterms:created xsi:type="dcterms:W3CDTF">2026-04-17T09:02:00Z</dcterms:created>
  <dcterms:modified xsi:type="dcterms:W3CDTF">2026-04-17T09:15:00Z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c54d3a68-5762-4aa2-b2a3-6867854d5257</vt:lpwstr>
  </property>
</Properties>
</file>