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6" w:rsidRDefault="001A7F46" w:rsidP="001A7F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F46" w:rsidRDefault="001A7F46" w:rsidP="001A7F4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A7F46" w:rsidRDefault="001A7F46" w:rsidP="001A7F4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A7F46" w:rsidRDefault="00FF1305" w:rsidP="001A7F4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7F46" w:rsidRDefault="001A7F46" w:rsidP="001A7F46">
      <w:pPr>
        <w:pStyle w:val="3"/>
        <w:jc w:val="left"/>
      </w:pPr>
      <w:r>
        <w:t xml:space="preserve">                             постановление</w:t>
      </w:r>
    </w:p>
    <w:p w:rsidR="001A7F46" w:rsidRDefault="001A7F46" w:rsidP="001A7F46">
      <w:pPr>
        <w:jc w:val="center"/>
        <w:rPr>
          <w:sz w:val="24"/>
        </w:rPr>
      </w:pPr>
    </w:p>
    <w:p w:rsidR="001A7F46" w:rsidRDefault="001A7F46" w:rsidP="001A7F46">
      <w:pPr>
        <w:rPr>
          <w:sz w:val="24"/>
        </w:rPr>
      </w:pPr>
      <w:r>
        <w:rPr>
          <w:sz w:val="24"/>
        </w:rPr>
        <w:t xml:space="preserve">                                                      от 16/05/2022 № 871</w:t>
      </w:r>
    </w:p>
    <w:p w:rsidR="001A7F46" w:rsidRPr="007358B4" w:rsidRDefault="001A7F46" w:rsidP="001A7F46">
      <w:pPr>
        <w:rPr>
          <w:sz w:val="24"/>
        </w:rPr>
      </w:pPr>
    </w:p>
    <w:p w:rsidR="001A7F46" w:rsidRDefault="001A7F46" w:rsidP="001A7F46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Правил </w:t>
      </w:r>
      <w:proofErr w:type="gramStart"/>
      <w:r>
        <w:rPr>
          <w:sz w:val="24"/>
          <w:szCs w:val="24"/>
        </w:rPr>
        <w:t>персонифицированного</w:t>
      </w:r>
      <w:proofErr w:type="gramEnd"/>
      <w:r>
        <w:rPr>
          <w:sz w:val="24"/>
          <w:szCs w:val="24"/>
        </w:rPr>
        <w:t xml:space="preserve"> </w:t>
      </w:r>
    </w:p>
    <w:p w:rsidR="001A7F46" w:rsidRDefault="001A7F46" w:rsidP="001A7F46">
      <w:pPr>
        <w:rPr>
          <w:sz w:val="24"/>
          <w:szCs w:val="24"/>
        </w:rPr>
      </w:pPr>
      <w:r>
        <w:rPr>
          <w:sz w:val="24"/>
          <w:szCs w:val="24"/>
        </w:rPr>
        <w:t>финансирования дополнительного образования детей</w:t>
      </w:r>
    </w:p>
    <w:p w:rsidR="001A7F46" w:rsidRDefault="001A7F46" w:rsidP="001A7F46">
      <w:pPr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1A7F46" w:rsidRDefault="001A7F46" w:rsidP="001A7F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</w:p>
    <w:p w:rsidR="001A7F46" w:rsidRPr="00D64400" w:rsidRDefault="001A7F46" w:rsidP="001A7F46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A7F46" w:rsidRPr="00D64400" w:rsidRDefault="001A7F46" w:rsidP="001A7F46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sz w:val="24"/>
          <w:szCs w:val="24"/>
        </w:rPr>
      </w:pPr>
    </w:p>
    <w:p w:rsidR="001A7F46" w:rsidRPr="00D64400" w:rsidRDefault="001A7F46" w:rsidP="001A7F46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sz w:val="24"/>
          <w:szCs w:val="24"/>
        </w:rPr>
      </w:pPr>
    </w:p>
    <w:p w:rsidR="001A7F46" w:rsidRPr="00D64400" w:rsidRDefault="001A7F46" w:rsidP="001A7F46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sz w:val="24"/>
          <w:szCs w:val="24"/>
        </w:rPr>
      </w:pPr>
    </w:p>
    <w:p w:rsidR="001A7F46" w:rsidRPr="00B82C4E" w:rsidRDefault="001A7F46" w:rsidP="001A7F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B82C4E">
        <w:rPr>
          <w:sz w:val="24"/>
          <w:szCs w:val="28"/>
        </w:rPr>
        <w:t xml:space="preserve">В целях приведения в соответствие с </w:t>
      </w:r>
      <w:r>
        <w:rPr>
          <w:sz w:val="24"/>
          <w:szCs w:val="28"/>
        </w:rPr>
        <w:t>о</w:t>
      </w:r>
      <w:r w:rsidRPr="00B82C4E">
        <w:rPr>
          <w:sz w:val="24"/>
          <w:szCs w:val="28"/>
        </w:rPr>
        <w:t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</w:t>
      </w:r>
      <w:r>
        <w:rPr>
          <w:sz w:val="24"/>
          <w:szCs w:val="28"/>
        </w:rPr>
        <w:t xml:space="preserve"> </w:t>
      </w:r>
      <w:r w:rsidRPr="00B82C4E">
        <w:rPr>
          <w:sz w:val="24"/>
          <w:szCs w:val="28"/>
        </w:rPr>
        <w:t>№ 1492, а также с положениями нормативных правовых актов исполнительных органов государственной власти Ленинградской области</w:t>
      </w:r>
      <w:r>
        <w:rPr>
          <w:sz w:val="24"/>
          <w:szCs w:val="28"/>
        </w:rPr>
        <w:t>,</w:t>
      </w:r>
      <w:r w:rsidRPr="00B82C4E">
        <w:rPr>
          <w:sz w:val="24"/>
          <w:szCs w:val="24"/>
        </w:rPr>
        <w:t xml:space="preserve"> на основании</w:t>
      </w:r>
      <w:proofErr w:type="gramEnd"/>
      <w:r w:rsidRPr="00B82C4E">
        <w:rPr>
          <w:sz w:val="24"/>
          <w:szCs w:val="24"/>
        </w:rPr>
        <w:t xml:space="preserve"> распоряжения Правительства Ленинградской области от 29.07.2019 № 488-р «О персонифицированном финансировании дополнительного образования детей в Ленинградской области» (с изменениями)</w:t>
      </w:r>
      <w:r>
        <w:rPr>
          <w:sz w:val="24"/>
          <w:szCs w:val="24"/>
        </w:rPr>
        <w:t>,</w:t>
      </w:r>
      <w:r>
        <w:rPr>
          <w:sz w:val="24"/>
          <w:szCs w:val="28"/>
        </w:rPr>
        <w:t xml:space="preserve"> </w:t>
      </w:r>
      <w:r w:rsidRPr="00B82C4E">
        <w:rPr>
          <w:sz w:val="24"/>
          <w:szCs w:val="24"/>
        </w:rPr>
        <w:t xml:space="preserve">администрация </w:t>
      </w:r>
      <w:proofErr w:type="spellStart"/>
      <w:r w:rsidRPr="00B82C4E">
        <w:rPr>
          <w:sz w:val="24"/>
          <w:szCs w:val="24"/>
        </w:rPr>
        <w:t>Сосновоборского</w:t>
      </w:r>
      <w:proofErr w:type="spellEnd"/>
      <w:r w:rsidRPr="00B82C4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B82C4E">
        <w:rPr>
          <w:b/>
          <w:sz w:val="24"/>
          <w:szCs w:val="24"/>
        </w:rPr>
        <w:t>п</w:t>
      </w:r>
      <w:proofErr w:type="gramEnd"/>
      <w:r w:rsidRPr="00B82C4E">
        <w:rPr>
          <w:b/>
          <w:sz w:val="24"/>
          <w:szCs w:val="24"/>
        </w:rPr>
        <w:t xml:space="preserve"> о с т а н о в л я е т:</w:t>
      </w:r>
    </w:p>
    <w:p w:rsidR="001A7F46" w:rsidRPr="00D64400" w:rsidRDefault="001A7F46" w:rsidP="001A7F46">
      <w:pPr>
        <w:shd w:val="clear" w:color="auto" w:fill="FFFFFF"/>
        <w:tabs>
          <w:tab w:val="left" w:pos="1134"/>
        </w:tabs>
        <w:ind w:firstLine="709"/>
        <w:contextualSpacing/>
        <w:jc w:val="both"/>
        <w:textAlignment w:val="baseline"/>
        <w:outlineLvl w:val="1"/>
        <w:rPr>
          <w:b/>
          <w:sz w:val="24"/>
          <w:szCs w:val="24"/>
        </w:rPr>
      </w:pPr>
    </w:p>
    <w:p w:rsidR="001A7F46" w:rsidRPr="00F35B9D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>Утвердить:</w:t>
      </w:r>
    </w:p>
    <w:p w:rsidR="001A7F46" w:rsidRPr="00F35B9D" w:rsidRDefault="001A7F46" w:rsidP="001A7F4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 xml:space="preserve">Правила персонифицированного финансирования дополнительного образования детей в муниципальном образовании </w:t>
      </w:r>
      <w:proofErr w:type="spellStart"/>
      <w:r w:rsidRPr="00F35B9D">
        <w:rPr>
          <w:sz w:val="24"/>
          <w:szCs w:val="24"/>
        </w:rPr>
        <w:t>Сосновоборский</w:t>
      </w:r>
      <w:proofErr w:type="spellEnd"/>
      <w:r w:rsidRPr="00F35B9D">
        <w:rPr>
          <w:sz w:val="24"/>
          <w:szCs w:val="24"/>
        </w:rPr>
        <w:t xml:space="preserve"> городской округ Ленинградской области (далее – Правила), согласно Приложению № 1 к настоящему постановлению. </w:t>
      </w:r>
    </w:p>
    <w:p w:rsidR="001A7F46" w:rsidRPr="00F35B9D" w:rsidRDefault="001A7F46" w:rsidP="001A7F4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trike/>
          <w:sz w:val="24"/>
          <w:szCs w:val="24"/>
        </w:rPr>
      </w:pPr>
      <w:proofErr w:type="gramStart"/>
      <w:r w:rsidRPr="00F35B9D">
        <w:rPr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proofErr w:type="spellStart"/>
      <w:r w:rsidRPr="00F35B9D">
        <w:rPr>
          <w:sz w:val="24"/>
          <w:szCs w:val="24"/>
        </w:rPr>
        <w:t>Сосновоборский</w:t>
      </w:r>
      <w:proofErr w:type="spellEnd"/>
      <w:r w:rsidRPr="00F35B9D">
        <w:rPr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F35B9D">
        <w:rPr>
          <w:sz w:val="24"/>
          <w:szCs w:val="24"/>
        </w:rPr>
        <w:t xml:space="preserve"> в рамках системы персонифицированного финансирования, согласно Приложению № 2 к настоящему постановлению.</w:t>
      </w:r>
    </w:p>
    <w:p w:rsidR="001A7F46" w:rsidRPr="00F35B9D" w:rsidRDefault="001A7F46" w:rsidP="001A7F46">
      <w:pPr>
        <w:tabs>
          <w:tab w:val="left" w:pos="0"/>
          <w:tab w:val="left" w:pos="1134"/>
        </w:tabs>
        <w:ind w:firstLine="709"/>
        <w:contextualSpacing/>
        <w:jc w:val="both"/>
        <w:rPr>
          <w:strike/>
          <w:sz w:val="24"/>
          <w:szCs w:val="24"/>
        </w:rPr>
      </w:pPr>
    </w:p>
    <w:p w:rsidR="001A7F46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 xml:space="preserve">Муниципальному опорному центру МБОУ </w:t>
      </w:r>
      <w:proofErr w:type="gramStart"/>
      <w:r w:rsidRPr="00F35B9D">
        <w:rPr>
          <w:sz w:val="24"/>
          <w:szCs w:val="24"/>
        </w:rPr>
        <w:t>ДО</w:t>
      </w:r>
      <w:proofErr w:type="gramEnd"/>
      <w:r w:rsidRPr="00F35B9D">
        <w:rPr>
          <w:sz w:val="24"/>
          <w:szCs w:val="24"/>
        </w:rPr>
        <w:t xml:space="preserve"> «</w:t>
      </w:r>
      <w:proofErr w:type="gramStart"/>
      <w:r w:rsidRPr="00F35B9D">
        <w:rPr>
          <w:sz w:val="24"/>
          <w:szCs w:val="24"/>
        </w:rPr>
        <w:t>Центр</w:t>
      </w:r>
      <w:proofErr w:type="gramEnd"/>
      <w:r w:rsidRPr="00F35B9D">
        <w:rPr>
          <w:sz w:val="24"/>
          <w:szCs w:val="24"/>
        </w:rPr>
        <w:t xml:space="preserve"> развития творчества», обеспечить взаимодействие с оператором персонифицированного финансирования Ленинградской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A7F46" w:rsidRPr="00F35B9D" w:rsidRDefault="001A7F46" w:rsidP="001A7F46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1A7F46" w:rsidRPr="00C93545" w:rsidRDefault="001A7F46" w:rsidP="001A7F46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C93545">
        <w:rPr>
          <w:sz w:val="24"/>
          <w:szCs w:val="24"/>
        </w:rPr>
        <w:lastRenderedPageBreak/>
        <w:t>Отделу по связям с обще</w:t>
      </w:r>
      <w:r>
        <w:rPr>
          <w:sz w:val="24"/>
          <w:szCs w:val="24"/>
        </w:rPr>
        <w:t>ственностью (пресс-центр) к</w:t>
      </w:r>
      <w:r w:rsidRPr="00C93545">
        <w:rPr>
          <w:sz w:val="24"/>
          <w:szCs w:val="24"/>
        </w:rPr>
        <w:t xml:space="preserve">омитета по общественной безопасности и информации (Бастина Е.А.) </w:t>
      </w:r>
      <w:proofErr w:type="gramStart"/>
      <w:r w:rsidRPr="00C93545">
        <w:rPr>
          <w:sz w:val="24"/>
          <w:szCs w:val="24"/>
        </w:rPr>
        <w:t>разместить</w:t>
      </w:r>
      <w:proofErr w:type="gramEnd"/>
      <w:r w:rsidRPr="00C9354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93545">
        <w:rPr>
          <w:sz w:val="24"/>
          <w:szCs w:val="24"/>
        </w:rPr>
        <w:t>Сосновоборского</w:t>
      </w:r>
      <w:proofErr w:type="spellEnd"/>
      <w:r w:rsidRPr="00C93545">
        <w:rPr>
          <w:sz w:val="24"/>
          <w:szCs w:val="24"/>
        </w:rPr>
        <w:t xml:space="preserve"> городского округа.</w:t>
      </w:r>
    </w:p>
    <w:p w:rsidR="001A7F46" w:rsidRPr="00F35B9D" w:rsidRDefault="001A7F46" w:rsidP="001A7F4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7F46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A7F46" w:rsidRDefault="001A7F46" w:rsidP="001A7F4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7F46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35B9D">
        <w:rPr>
          <w:sz w:val="24"/>
          <w:szCs w:val="24"/>
        </w:rPr>
        <w:t>Сосновоборского</w:t>
      </w:r>
      <w:proofErr w:type="spellEnd"/>
      <w:r w:rsidRPr="00F35B9D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27.04.2021</w:t>
      </w:r>
      <w:r w:rsidRPr="00F35B9D">
        <w:rPr>
          <w:sz w:val="24"/>
          <w:szCs w:val="24"/>
        </w:rPr>
        <w:t xml:space="preserve"> № </w:t>
      </w:r>
      <w:r>
        <w:rPr>
          <w:sz w:val="24"/>
          <w:szCs w:val="24"/>
        </w:rPr>
        <w:t>804</w:t>
      </w:r>
      <w:r w:rsidRPr="00F35B9D">
        <w:rPr>
          <w:sz w:val="24"/>
          <w:szCs w:val="24"/>
        </w:rPr>
        <w:t xml:space="preserve"> «Об утверждении Правил </w:t>
      </w:r>
      <w:proofErr w:type="gramStart"/>
      <w:r w:rsidRPr="00F35B9D">
        <w:rPr>
          <w:sz w:val="24"/>
          <w:szCs w:val="24"/>
        </w:rPr>
        <w:t>персонифицированного</w:t>
      </w:r>
      <w:proofErr w:type="gramEnd"/>
      <w:r w:rsidRPr="00F35B9D">
        <w:rPr>
          <w:sz w:val="24"/>
          <w:szCs w:val="24"/>
        </w:rPr>
        <w:t xml:space="preserve"> о финансирования дополнительного образования детей в </w:t>
      </w:r>
      <w:r>
        <w:rPr>
          <w:sz w:val="24"/>
          <w:szCs w:val="24"/>
        </w:rPr>
        <w:t>м</w:t>
      </w:r>
      <w:r w:rsidRPr="00F35B9D">
        <w:rPr>
          <w:sz w:val="24"/>
          <w:szCs w:val="24"/>
        </w:rPr>
        <w:t xml:space="preserve">униципальном образовании </w:t>
      </w:r>
      <w:proofErr w:type="spellStart"/>
      <w:r w:rsidRPr="00F35B9D">
        <w:rPr>
          <w:sz w:val="24"/>
          <w:szCs w:val="24"/>
        </w:rPr>
        <w:t>Сосновоборский</w:t>
      </w:r>
      <w:proofErr w:type="spellEnd"/>
      <w:r w:rsidRPr="00F35B9D">
        <w:rPr>
          <w:sz w:val="24"/>
          <w:szCs w:val="24"/>
        </w:rPr>
        <w:t xml:space="preserve"> городской округ Ленинградской области».</w:t>
      </w:r>
    </w:p>
    <w:p w:rsidR="001A7F46" w:rsidRDefault="001A7F46" w:rsidP="001A7F4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7F46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35B9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A7F46" w:rsidRDefault="001A7F46" w:rsidP="001A7F4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7F46" w:rsidRPr="00D64400" w:rsidRDefault="001A7F46" w:rsidP="001A7F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>Контроль за</w:t>
      </w:r>
      <w:proofErr w:type="gramEnd"/>
      <w:r w:rsidRPr="00D6440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A7F46" w:rsidRPr="00D64400" w:rsidRDefault="001A7F46" w:rsidP="001A7F46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</w:p>
    <w:p w:rsidR="001A7F46" w:rsidRPr="00D64400" w:rsidRDefault="001A7F46" w:rsidP="001A7F46">
      <w:pPr>
        <w:rPr>
          <w:sz w:val="24"/>
          <w:szCs w:val="24"/>
        </w:rPr>
      </w:pPr>
    </w:p>
    <w:p w:rsidR="001A7F46" w:rsidRPr="00D64400" w:rsidRDefault="001A7F46" w:rsidP="001A7F46">
      <w:pPr>
        <w:rPr>
          <w:sz w:val="24"/>
          <w:szCs w:val="24"/>
        </w:rPr>
      </w:pPr>
    </w:p>
    <w:p w:rsidR="001A7F46" w:rsidRPr="00D64400" w:rsidRDefault="001A7F46" w:rsidP="001A7F46">
      <w:pPr>
        <w:rPr>
          <w:sz w:val="24"/>
          <w:szCs w:val="24"/>
        </w:rPr>
      </w:pPr>
      <w:r w:rsidRPr="00D64400">
        <w:rPr>
          <w:sz w:val="24"/>
          <w:szCs w:val="24"/>
        </w:rPr>
        <w:t xml:space="preserve">Глава </w:t>
      </w:r>
      <w:proofErr w:type="spellStart"/>
      <w:r w:rsidRPr="00D64400">
        <w:rPr>
          <w:sz w:val="24"/>
          <w:szCs w:val="24"/>
        </w:rPr>
        <w:t>Сосновоборского</w:t>
      </w:r>
      <w:proofErr w:type="spellEnd"/>
      <w:r w:rsidRPr="00D64400">
        <w:rPr>
          <w:sz w:val="24"/>
          <w:szCs w:val="24"/>
        </w:rPr>
        <w:t xml:space="preserve"> городского округа</w:t>
      </w:r>
      <w:r w:rsidRPr="00D64400">
        <w:rPr>
          <w:sz w:val="24"/>
          <w:szCs w:val="24"/>
        </w:rPr>
        <w:tab/>
        <w:t xml:space="preserve"> </w:t>
      </w: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64400">
        <w:rPr>
          <w:sz w:val="24"/>
          <w:szCs w:val="24"/>
        </w:rPr>
        <w:t xml:space="preserve">            М.В.</w:t>
      </w:r>
      <w:r>
        <w:rPr>
          <w:sz w:val="24"/>
          <w:szCs w:val="24"/>
        </w:rPr>
        <w:t xml:space="preserve"> </w:t>
      </w:r>
      <w:r w:rsidRPr="00D64400">
        <w:rPr>
          <w:sz w:val="24"/>
          <w:szCs w:val="24"/>
        </w:rPr>
        <w:t>Воронков</w:t>
      </w:r>
    </w:p>
    <w:p w:rsidR="001A7F46" w:rsidRPr="00D64400" w:rsidRDefault="001A7F46" w:rsidP="001A7F46">
      <w:pPr>
        <w:rPr>
          <w:sz w:val="24"/>
          <w:szCs w:val="24"/>
        </w:rPr>
      </w:pPr>
    </w:p>
    <w:p w:rsidR="001A7F46" w:rsidRPr="00D64400" w:rsidRDefault="001A7F46" w:rsidP="001A7F46">
      <w:pPr>
        <w:jc w:val="both"/>
        <w:rPr>
          <w:sz w:val="24"/>
          <w:szCs w:val="24"/>
        </w:rPr>
      </w:pPr>
    </w:p>
    <w:p w:rsidR="001A7F46" w:rsidRPr="00D64400" w:rsidRDefault="001A7F46" w:rsidP="001A7F46">
      <w:pPr>
        <w:jc w:val="both"/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rPr>
          <w:sz w:val="24"/>
          <w:szCs w:val="24"/>
        </w:rPr>
      </w:pPr>
    </w:p>
    <w:p w:rsidR="001A7F46" w:rsidRDefault="001A7F46" w:rsidP="001A7F46">
      <w:pPr>
        <w:rPr>
          <w:rFonts w:eastAsia="Calibri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lastRenderedPageBreak/>
              <w:t>УТВЕРЖДЕНЫ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t xml:space="preserve">постановлением администрации 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proofErr w:type="spellStart"/>
            <w:r w:rsidRPr="00D64400">
              <w:rPr>
                <w:sz w:val="24"/>
                <w:szCs w:val="24"/>
              </w:rPr>
              <w:t>Сосновоборского</w:t>
            </w:r>
            <w:proofErr w:type="spellEnd"/>
            <w:r w:rsidRPr="00D64400"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16/05/2022 № 871</w:t>
            </w:r>
          </w:p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t>(Приложение № 1)</w:t>
            </w:r>
          </w:p>
        </w:tc>
      </w:tr>
    </w:tbl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spacing w:line="360" w:lineRule="auto"/>
        <w:ind w:firstLine="567"/>
        <w:jc w:val="center"/>
        <w:rPr>
          <w:sz w:val="24"/>
          <w:szCs w:val="24"/>
        </w:rPr>
      </w:pPr>
    </w:p>
    <w:p w:rsidR="001A7F46" w:rsidRDefault="001A7F46" w:rsidP="001A7F46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D64400">
        <w:rPr>
          <w:b/>
          <w:sz w:val="24"/>
          <w:szCs w:val="24"/>
        </w:rPr>
        <w:t xml:space="preserve">Правила персонифицированного финансирования дополнительного образования детей в муниципальном образовании </w:t>
      </w:r>
      <w:proofErr w:type="spellStart"/>
      <w:r w:rsidRPr="00D64400">
        <w:rPr>
          <w:b/>
          <w:sz w:val="24"/>
          <w:szCs w:val="24"/>
        </w:rPr>
        <w:t>Сосновоборский</w:t>
      </w:r>
      <w:proofErr w:type="spellEnd"/>
      <w:r w:rsidRPr="00D64400">
        <w:rPr>
          <w:b/>
          <w:sz w:val="24"/>
          <w:szCs w:val="24"/>
        </w:rPr>
        <w:t xml:space="preserve"> городской округ Ленинградской области</w:t>
      </w:r>
    </w:p>
    <w:p w:rsidR="001A7F46" w:rsidRPr="00D64400" w:rsidRDefault="001A7F46" w:rsidP="001A7F46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Правила персонифицированного финансирования дополнительного образования детей в муниципальном образовании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с целью реализации распоряжения Правительства Ленинградской области от 29.07.2019 №</w:t>
      </w:r>
      <w:r>
        <w:rPr>
          <w:sz w:val="24"/>
          <w:szCs w:val="24"/>
        </w:rPr>
        <w:t xml:space="preserve"> </w:t>
      </w:r>
      <w:r w:rsidRPr="00D64400">
        <w:rPr>
          <w:sz w:val="24"/>
          <w:szCs w:val="24"/>
        </w:rPr>
        <w:t>488-р «О персонифицированном финансировании дополнительного образования детей в Ленинградской области»</w:t>
      </w:r>
      <w:r>
        <w:rPr>
          <w:sz w:val="24"/>
          <w:szCs w:val="24"/>
        </w:rPr>
        <w:t xml:space="preserve"> с изменениями</w:t>
      </w:r>
      <w:proofErr w:type="gramEnd"/>
      <w:r w:rsidRPr="00D64400">
        <w:rPr>
          <w:sz w:val="24"/>
          <w:szCs w:val="24"/>
        </w:rPr>
        <w:t xml:space="preserve">  (далее – региональные Правила). 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Система персонифицированного финансирования вводится с  целью обеспечения единства образовательного пространства и равенства образовательных возможностей для детей Ленинградской области на территории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области.</w:t>
      </w:r>
      <w:proofErr w:type="gramEnd"/>
      <w:r w:rsidRPr="00D64400">
        <w:rPr>
          <w:sz w:val="24"/>
          <w:szCs w:val="24"/>
        </w:rPr>
        <w:t xml:space="preserve"> Настоящие Правила используют понятия, предусмотренные региональными Правилами. 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D64400">
        <w:rPr>
          <w:sz w:val="24"/>
          <w:szCs w:val="24"/>
        </w:rPr>
        <w:t xml:space="preserve">Сертификат </w:t>
      </w:r>
      <w:r w:rsidRPr="006E3BE8">
        <w:rPr>
          <w:sz w:val="24"/>
          <w:szCs w:val="24"/>
        </w:rPr>
        <w:t>дополнительного образования</w:t>
      </w:r>
      <w:r w:rsidRPr="00D64400">
        <w:rPr>
          <w:sz w:val="24"/>
          <w:szCs w:val="24"/>
        </w:rPr>
        <w:t xml:space="preserve"> в муниципальном образовании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кой округ Ленинградской области</w:t>
      </w:r>
      <w:r w:rsidRPr="00D64400">
        <w:rPr>
          <w:sz w:val="24"/>
          <w:szCs w:val="24"/>
        </w:rPr>
        <w:t xml:space="preserve"> обеспечивается за счет средств бюджета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области. 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Комитет образования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>
        <w:rPr>
          <w:sz w:val="24"/>
          <w:szCs w:val="24"/>
        </w:rPr>
        <w:t xml:space="preserve"> </w:t>
      </w:r>
      <w:r w:rsidRPr="006E3BE8">
        <w:rPr>
          <w:sz w:val="24"/>
          <w:szCs w:val="24"/>
        </w:rPr>
        <w:t>дополнительного образования</w:t>
      </w:r>
      <w:r w:rsidRPr="00D64400">
        <w:rPr>
          <w:sz w:val="24"/>
          <w:szCs w:val="24"/>
        </w:rPr>
        <w:t xml:space="preserve">, число действующих сертификатов дополнительного образования, в том числе в разрезе отдельных категорий детей, </w:t>
      </w:r>
      <w:r w:rsidRPr="00D64400">
        <w:rPr>
          <w:sz w:val="24"/>
          <w:szCs w:val="24"/>
          <w:lang w:eastAsia="en-US"/>
        </w:rPr>
        <w:t>объем обеспечения сертификатов</w:t>
      </w:r>
      <w:r w:rsidRPr="00F34BCF">
        <w:rPr>
          <w:color w:val="FF0000"/>
          <w:sz w:val="24"/>
          <w:szCs w:val="24"/>
        </w:rPr>
        <w:t xml:space="preserve"> </w:t>
      </w:r>
      <w:r w:rsidRPr="006E3BE8">
        <w:rPr>
          <w:sz w:val="24"/>
          <w:szCs w:val="24"/>
        </w:rPr>
        <w:t>дополнительного образования</w:t>
      </w:r>
      <w:r w:rsidRPr="00D64400">
        <w:rPr>
          <w:sz w:val="24"/>
          <w:szCs w:val="24"/>
          <w:lang w:eastAsia="en-US"/>
        </w:rPr>
        <w:t xml:space="preserve"> </w:t>
      </w:r>
      <w:r w:rsidRPr="00D64400">
        <w:rPr>
          <w:sz w:val="24"/>
          <w:szCs w:val="24"/>
        </w:rPr>
        <w:t>и предоставляет данные сведения оператору</w:t>
      </w:r>
      <w:proofErr w:type="gramEnd"/>
      <w:r w:rsidRPr="00D64400">
        <w:rPr>
          <w:sz w:val="24"/>
          <w:szCs w:val="24"/>
        </w:rPr>
        <w:t xml:space="preserve"> персонифицированного финансирования Ленинградской области для фиксации в информационной системе.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D64400">
        <w:rPr>
          <w:sz w:val="24"/>
          <w:szCs w:val="24"/>
        </w:rPr>
        <w:t xml:space="preserve"> По всем вопросам, специально не урегулированным в настоящих Правилах, органы местного самоуправления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, </w:t>
      </w:r>
      <w:r w:rsidRPr="006E3BE8">
        <w:rPr>
          <w:sz w:val="24"/>
          <w:szCs w:val="24"/>
        </w:rPr>
        <w:t>а также организации, находящиеся в их ведении,</w:t>
      </w:r>
      <w:r w:rsidRPr="00D64400">
        <w:rPr>
          <w:sz w:val="24"/>
          <w:szCs w:val="24"/>
        </w:rPr>
        <w:t xml:space="preserve"> руководствуются региональными Правилами. </w:t>
      </w:r>
    </w:p>
    <w:p w:rsidR="001A7F46" w:rsidRPr="00F34BCF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proofErr w:type="gramStart"/>
      <w:r w:rsidRPr="00F34BCF">
        <w:rPr>
          <w:sz w:val="24"/>
          <w:szCs w:val="24"/>
        </w:rPr>
        <w:lastRenderedPageBreak/>
        <w:t xml:space="preserve">Финансовое обеспечение муниципальных образовательных услуг, </w:t>
      </w:r>
      <w:r w:rsidRPr="006E3BE8">
        <w:rPr>
          <w:sz w:val="24"/>
          <w:szCs w:val="24"/>
        </w:rPr>
        <w:t>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</w:t>
      </w:r>
      <w:r w:rsidRPr="00F34BCF">
        <w:rPr>
          <w:sz w:val="24"/>
          <w:szCs w:val="24"/>
        </w:rPr>
        <w:t xml:space="preserve">, осуществляется за счет средств бюджета муниципального образования </w:t>
      </w:r>
      <w:proofErr w:type="spellStart"/>
      <w:r w:rsidRPr="00F34BCF">
        <w:rPr>
          <w:sz w:val="24"/>
          <w:szCs w:val="24"/>
        </w:rPr>
        <w:t>Сосновоборский</w:t>
      </w:r>
      <w:proofErr w:type="spellEnd"/>
      <w:r w:rsidRPr="00F34BCF">
        <w:rPr>
          <w:sz w:val="24"/>
          <w:szCs w:val="24"/>
        </w:rPr>
        <w:t xml:space="preserve"> городской округ Ленинградской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Pr="006E3BE8">
        <w:rPr>
          <w:sz w:val="24"/>
          <w:szCs w:val="24"/>
        </w:rPr>
        <w:t xml:space="preserve">исполнителей </w:t>
      </w:r>
      <w:r w:rsidRPr="00D64400">
        <w:rPr>
          <w:sz w:val="24"/>
          <w:szCs w:val="24"/>
        </w:rPr>
        <w:t xml:space="preserve">образовательных услуг, в рамках системы персонифицированного финансирования, определяется как размер нормативных затрат, установленных Комитетом образования 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области, осуществляющи</w:t>
      </w:r>
      <w:r>
        <w:rPr>
          <w:sz w:val="24"/>
          <w:szCs w:val="24"/>
        </w:rPr>
        <w:t>м</w:t>
      </w:r>
      <w:r w:rsidRPr="00D64400">
        <w:rPr>
          <w:sz w:val="24"/>
          <w:szCs w:val="24"/>
        </w:rPr>
        <w:t xml:space="preserve"> управление в сфере образования администрации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</w:t>
      </w:r>
      <w:r w:rsidRPr="006E3BE8">
        <w:rPr>
          <w:sz w:val="24"/>
          <w:szCs w:val="24"/>
        </w:rPr>
        <w:t xml:space="preserve">в соответствии с разделом </w:t>
      </w:r>
      <w:r w:rsidRPr="006E3BE8">
        <w:rPr>
          <w:sz w:val="24"/>
          <w:szCs w:val="24"/>
          <w:lang w:val="en-US"/>
        </w:rPr>
        <w:t>II</w:t>
      </w:r>
      <w:r w:rsidRPr="006E3BE8">
        <w:rPr>
          <w:sz w:val="24"/>
          <w:szCs w:val="24"/>
        </w:rPr>
        <w:t xml:space="preserve"> региональных Правил,</w:t>
      </w:r>
      <w:r w:rsidRPr="00D64400">
        <w:rPr>
          <w:sz w:val="24"/>
          <w:szCs w:val="24"/>
        </w:rPr>
        <w:t xml:space="preserve"> умноженных на объем установленного вышеуказанным</w:t>
      </w:r>
      <w:proofErr w:type="gramEnd"/>
      <w:r w:rsidRPr="00D64400">
        <w:rPr>
          <w:sz w:val="24"/>
          <w:szCs w:val="24"/>
        </w:rPr>
        <w:t xml:space="preserve">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 </w:t>
      </w:r>
      <w:r w:rsidRPr="0069280A">
        <w:rPr>
          <w:sz w:val="24"/>
          <w:szCs w:val="24"/>
        </w:rPr>
        <w:t xml:space="preserve">Постановлением  администрации </w:t>
      </w:r>
      <w:proofErr w:type="spellStart"/>
      <w:r w:rsidRPr="0069280A">
        <w:rPr>
          <w:sz w:val="24"/>
          <w:szCs w:val="24"/>
        </w:rPr>
        <w:t>Сосновоборского</w:t>
      </w:r>
      <w:proofErr w:type="spellEnd"/>
      <w:r w:rsidRPr="0069280A">
        <w:rPr>
          <w:sz w:val="24"/>
          <w:szCs w:val="24"/>
        </w:rPr>
        <w:t xml:space="preserve"> городского округа  </w:t>
      </w:r>
      <w:hyperlink r:id="rId9" w:history="1">
        <w:r w:rsidRPr="0069280A">
          <w:rPr>
            <w:sz w:val="24"/>
            <w:szCs w:val="24"/>
          </w:rPr>
          <w:t xml:space="preserve"> от 23.12.2015 № 3253</w:t>
        </w:r>
      </w:hyperlink>
      <w:r w:rsidRPr="0069280A">
        <w:rPr>
          <w:sz w:val="24"/>
          <w:szCs w:val="24"/>
        </w:rPr>
        <w:t> "О порядке формирования муниципального задания на</w:t>
      </w:r>
      <w:proofErr w:type="gramEnd"/>
      <w:r w:rsidRPr="0069280A">
        <w:rPr>
          <w:sz w:val="24"/>
          <w:szCs w:val="24"/>
        </w:rPr>
        <w:t xml:space="preserve"> оказание муниципальных услуг (выполнение работ)</w:t>
      </w:r>
      <w:r w:rsidRPr="00D64400">
        <w:rPr>
          <w:sz w:val="24"/>
          <w:szCs w:val="24"/>
        </w:rPr>
        <w:t xml:space="preserve"> в отношении муниципальных учреждений и финансового обеспечения выполнения муниципального задания" </w:t>
      </w:r>
      <w:r>
        <w:rPr>
          <w:sz w:val="24"/>
          <w:szCs w:val="24"/>
        </w:rPr>
        <w:t>(</w:t>
      </w:r>
      <w:r w:rsidRPr="00D64400">
        <w:rPr>
          <w:sz w:val="24"/>
          <w:szCs w:val="24"/>
        </w:rPr>
        <w:t>с изменениями</w:t>
      </w:r>
      <w:r>
        <w:rPr>
          <w:sz w:val="24"/>
          <w:szCs w:val="24"/>
        </w:rPr>
        <w:t>)</w:t>
      </w:r>
      <w:r w:rsidRPr="00D64400">
        <w:rPr>
          <w:sz w:val="24"/>
          <w:szCs w:val="24"/>
        </w:rPr>
        <w:t xml:space="preserve">. </w:t>
      </w:r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proofErr w:type="gramStart"/>
      <w:r w:rsidRPr="00D64400">
        <w:rPr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включенными в реестр </w:t>
      </w:r>
      <w:r w:rsidRPr="006E3BE8">
        <w:rPr>
          <w:sz w:val="24"/>
          <w:szCs w:val="24"/>
        </w:rPr>
        <w:t>исполнителей</w:t>
      </w:r>
      <w:r>
        <w:rPr>
          <w:color w:val="FF0000"/>
          <w:sz w:val="24"/>
          <w:szCs w:val="24"/>
        </w:rPr>
        <w:t xml:space="preserve"> </w:t>
      </w:r>
      <w:r w:rsidRPr="00D64400">
        <w:rPr>
          <w:sz w:val="24"/>
          <w:szCs w:val="24"/>
        </w:rPr>
        <w:t xml:space="preserve">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proofErr w:type="gramEnd"/>
      <w:r w:rsidRPr="00D64400">
        <w:rPr>
          <w:sz w:val="24"/>
          <w:szCs w:val="24"/>
        </w:rPr>
        <w:t xml:space="preserve"> </w:t>
      </w:r>
      <w:proofErr w:type="gramStart"/>
      <w:r w:rsidRPr="00D64400">
        <w:rPr>
          <w:sz w:val="24"/>
          <w:szCs w:val="24"/>
        </w:rPr>
        <w:t xml:space="preserve">городской  округ Ленинградской области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администрацией муниципального образования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Ленинградской области.</w:t>
      </w:r>
      <w:proofErr w:type="gramEnd"/>
    </w:p>
    <w:p w:rsidR="001A7F46" w:rsidRPr="00D64400" w:rsidRDefault="001A7F46" w:rsidP="001A7F4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D64400">
        <w:rPr>
          <w:sz w:val="24"/>
          <w:szCs w:val="24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Комитетом образования </w:t>
      </w:r>
      <w:proofErr w:type="spellStart"/>
      <w:r w:rsidRPr="00D64400">
        <w:rPr>
          <w:sz w:val="24"/>
          <w:szCs w:val="24"/>
        </w:rPr>
        <w:t>Сосновоборского</w:t>
      </w:r>
      <w:proofErr w:type="spellEnd"/>
      <w:r w:rsidRPr="00D64400">
        <w:rPr>
          <w:sz w:val="24"/>
          <w:szCs w:val="24"/>
        </w:rPr>
        <w:t xml:space="preserve"> </w:t>
      </w:r>
      <w:r w:rsidRPr="00D64400">
        <w:rPr>
          <w:sz w:val="24"/>
          <w:szCs w:val="24"/>
        </w:rPr>
        <w:lastRenderedPageBreak/>
        <w:t>городского округа,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  <w:r w:rsidRPr="00D64400">
        <w:rPr>
          <w:sz w:val="24"/>
          <w:szCs w:val="24"/>
        </w:rPr>
        <w:tab/>
      </w: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4400">
              <w:rPr>
                <w:sz w:val="24"/>
                <w:szCs w:val="24"/>
              </w:rPr>
              <w:t xml:space="preserve">остановлением администрации 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proofErr w:type="spellStart"/>
            <w:r w:rsidRPr="00D64400">
              <w:rPr>
                <w:sz w:val="24"/>
                <w:szCs w:val="24"/>
              </w:rPr>
              <w:t>Сосновоборского</w:t>
            </w:r>
            <w:proofErr w:type="spellEnd"/>
            <w:r w:rsidRPr="00D64400"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1A7F46" w:rsidRPr="00D64400" w:rsidTr="00E321CC">
        <w:tc>
          <w:tcPr>
            <w:tcW w:w="4217" w:type="dxa"/>
          </w:tcPr>
          <w:p w:rsidR="001A7F46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16/05/2022 № 871</w:t>
            </w:r>
          </w:p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</w:p>
        </w:tc>
      </w:tr>
      <w:tr w:rsidR="001A7F46" w:rsidRPr="00D64400" w:rsidTr="00E321CC">
        <w:tc>
          <w:tcPr>
            <w:tcW w:w="4217" w:type="dxa"/>
          </w:tcPr>
          <w:p w:rsidR="001A7F46" w:rsidRPr="00D64400" w:rsidRDefault="001A7F46" w:rsidP="00E321CC">
            <w:pPr>
              <w:jc w:val="right"/>
              <w:rPr>
                <w:sz w:val="24"/>
                <w:szCs w:val="24"/>
              </w:rPr>
            </w:pPr>
            <w:r w:rsidRPr="00D64400">
              <w:rPr>
                <w:sz w:val="24"/>
                <w:szCs w:val="24"/>
              </w:rPr>
              <w:t>(Приложение № 2)</w:t>
            </w:r>
          </w:p>
        </w:tc>
      </w:tr>
    </w:tbl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D64400">
        <w:rPr>
          <w:b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proofErr w:type="spellStart"/>
      <w:r w:rsidRPr="00D64400">
        <w:rPr>
          <w:b/>
          <w:sz w:val="24"/>
          <w:szCs w:val="24"/>
        </w:rPr>
        <w:t>Сосновоборский</w:t>
      </w:r>
      <w:proofErr w:type="spellEnd"/>
      <w:r w:rsidRPr="00D64400">
        <w:rPr>
          <w:b/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включенным в реестр </w:t>
      </w:r>
      <w:r w:rsidRPr="006E3BE8">
        <w:rPr>
          <w:b/>
          <w:sz w:val="24"/>
          <w:szCs w:val="24"/>
        </w:rPr>
        <w:t>исполнителей</w:t>
      </w:r>
      <w:r>
        <w:rPr>
          <w:b/>
          <w:color w:val="FF0000"/>
          <w:sz w:val="24"/>
          <w:szCs w:val="24"/>
        </w:rPr>
        <w:t xml:space="preserve"> </w:t>
      </w:r>
      <w:r w:rsidRPr="00D64400">
        <w:rPr>
          <w:b/>
          <w:sz w:val="24"/>
          <w:szCs w:val="24"/>
        </w:rPr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D64400">
        <w:rPr>
          <w:b/>
          <w:sz w:val="24"/>
          <w:szCs w:val="24"/>
        </w:rPr>
        <w:t xml:space="preserve"> в рамках системы персонифицированного финансирования</w:t>
      </w: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7F46" w:rsidRPr="00D64400" w:rsidRDefault="001A7F46" w:rsidP="001A7F46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64400">
        <w:rPr>
          <w:rFonts w:eastAsia="Calibri"/>
          <w:b/>
          <w:bCs/>
          <w:sz w:val="24"/>
          <w:szCs w:val="24"/>
          <w:lang w:eastAsia="en-US"/>
        </w:rPr>
        <w:t>Раздел I. Общие положения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Pr="007358B4">
        <w:rPr>
          <w:sz w:val="24"/>
          <w:szCs w:val="24"/>
        </w:rPr>
        <w:t xml:space="preserve"> </w:t>
      </w:r>
      <w:proofErr w:type="gramStart"/>
      <w:r w:rsidRPr="007358B4">
        <w:rPr>
          <w:sz w:val="24"/>
          <w:szCs w:val="24"/>
        </w:rPr>
        <w:t xml:space="preserve">программ в рамках системы персонифицированного финансирования дополнительного образования детей (далее − Порядок), устанавливает цели, условия и порядок предоставления грантов в форме субсидий исполнителям услуг Комитетом образования 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trike/>
          <w:sz w:val="24"/>
          <w:szCs w:val="24"/>
        </w:rPr>
      </w:pPr>
      <w:bookmarkStart w:id="1" w:name="_Ref56163217"/>
      <w:proofErr w:type="gramStart"/>
      <w:r w:rsidRPr="007358B4">
        <w:rPr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№ 16.</w:t>
      </w:r>
      <w:bookmarkEnd w:id="1"/>
      <w:r w:rsidRPr="007358B4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Основные понятия, используемые в настоящем порядке: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дополнительного образования, обучающийся, достигший возраста 14 лет – участник системы персонифицированного </w:t>
      </w:r>
      <w:r w:rsidRPr="007358B4">
        <w:rPr>
          <w:rFonts w:eastAsia="Calibri"/>
          <w:sz w:val="24"/>
          <w:szCs w:val="24"/>
          <w:lang w:eastAsia="en-US"/>
        </w:rPr>
        <w:lastRenderedPageBreak/>
        <w:t>финансирования, имеющий  сертификат дополнительного образования, включенные в реестр потребителей в соответствии с региональными Правилами;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  <w:proofErr w:type="gramEnd"/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гранты в форме субсидии − средства, предоставляемые исполнителям услуг Комитетом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 как уполномоченным органом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отбор исполнителей</w:t>
      </w:r>
      <w:r w:rsidRPr="007358B4">
        <w:rPr>
          <w:color w:val="FF0000"/>
          <w:sz w:val="24"/>
          <w:szCs w:val="24"/>
        </w:rPr>
        <w:t xml:space="preserve"> </w:t>
      </w:r>
      <w:r w:rsidRPr="007358B4">
        <w:rPr>
          <w:sz w:val="24"/>
          <w:szCs w:val="24"/>
        </w:rPr>
        <w:t>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 xml:space="preserve">уполномоченный орган – 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области, являющийся главным распорядителем средств местного бюджета,</w:t>
      </w:r>
      <w:r w:rsidRPr="007358B4">
        <w:rPr>
          <w:color w:val="FF0000"/>
          <w:sz w:val="24"/>
          <w:szCs w:val="24"/>
        </w:rPr>
        <w:t xml:space="preserve"> </w:t>
      </w:r>
      <w:r w:rsidRPr="007358B4">
        <w:rPr>
          <w:sz w:val="24"/>
          <w:szCs w:val="24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</w:t>
      </w:r>
      <w:proofErr w:type="gramEnd"/>
      <w:r w:rsidRPr="007358B4">
        <w:rPr>
          <w:sz w:val="24"/>
          <w:szCs w:val="24"/>
        </w:rPr>
        <w:t xml:space="preserve"> форме субсидии;</w:t>
      </w:r>
    </w:p>
    <w:p w:rsidR="001A7F46" w:rsidRPr="007358B4" w:rsidRDefault="001A7F46" w:rsidP="001A7F46">
      <w:pPr>
        <w:numPr>
          <w:ilvl w:val="0"/>
          <w:numId w:val="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региональные Правила – 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 «О  персонифицированном финансировании дополнительного образования детей в Ленинградской области» (с изменениями).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 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осуществляет предоставление грантов в форме субсидии из бюджета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в соответствии с решением совета депутатов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 о бюджете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  на текущий финансовый год и плановый период в пределах утвержденных лимитов бюджетных обязательств в рамках муниципальной программы</w:t>
      </w:r>
      <w:proofErr w:type="gramEnd"/>
      <w:r w:rsidRPr="007358B4">
        <w:rPr>
          <w:sz w:val="24"/>
          <w:szCs w:val="24"/>
        </w:rPr>
        <w:t xml:space="preserve">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 «Современное образование 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округа», утвержденной Постановлением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от 19 декабря 2019 г. № 4444 (с изменениями).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7358B4">
        <w:rPr>
          <w:sz w:val="24"/>
          <w:szCs w:val="24"/>
        </w:rPr>
        <w:t xml:space="preserve">Гранты в форме субсидии предоставляются в рамках мероприятия «Обеспечение функционирования модели персонифицированного финансирования дополнительного образования детей» муниципальной программы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 «Современное образование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округа», утвержденной Постановлением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</w:t>
      </w:r>
      <w:r w:rsidRPr="007358B4">
        <w:rPr>
          <w:sz w:val="24"/>
          <w:szCs w:val="24"/>
        </w:rPr>
        <w:lastRenderedPageBreak/>
        <w:t>округ Ленинградской области от 19 декабря 2019 г. № 4444 (с изменениями). Действие настоящего порядка не распространяется на  осуществление финансовой (</w:t>
      </w:r>
      <w:proofErr w:type="spellStart"/>
      <w:r w:rsidRPr="007358B4">
        <w:rPr>
          <w:sz w:val="24"/>
          <w:szCs w:val="24"/>
        </w:rPr>
        <w:t>грантовой</w:t>
      </w:r>
      <w:proofErr w:type="spellEnd"/>
      <w:r w:rsidRPr="007358B4">
        <w:rPr>
          <w:sz w:val="24"/>
          <w:szCs w:val="24"/>
        </w:rPr>
        <w:t xml:space="preserve">) поддержки в рамках иных муниципальных программ (подпрограмм)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</w:t>
      </w:r>
      <w:proofErr w:type="gramEnd"/>
      <w:r w:rsidRPr="007358B4">
        <w:rPr>
          <w:sz w:val="24"/>
          <w:szCs w:val="24"/>
        </w:rPr>
        <w:t>;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Сведения о субсидиях размещаются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  <w:r w:rsidRPr="007358B4">
        <w:rPr>
          <w:color w:val="FF0000"/>
          <w:sz w:val="24"/>
          <w:szCs w:val="24"/>
        </w:rPr>
        <w:t xml:space="preserve"> 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 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360" w:lineRule="auto"/>
        <w:ind w:firstLine="709"/>
        <w:jc w:val="center"/>
        <w:rPr>
          <w:b/>
          <w:sz w:val="24"/>
          <w:szCs w:val="24"/>
        </w:rPr>
      </w:pPr>
      <w:r w:rsidRPr="007358B4">
        <w:rPr>
          <w:b/>
          <w:sz w:val="24"/>
          <w:szCs w:val="24"/>
        </w:rPr>
        <w:t>Раздел II. Порядок проведения отбора исполнителей услуг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</w:t>
      </w:r>
      <w:r w:rsidRPr="007358B4">
        <w:rPr>
          <w:color w:val="FF0000"/>
          <w:sz w:val="24"/>
          <w:szCs w:val="24"/>
        </w:rPr>
        <w:t xml:space="preserve"> </w:t>
      </w:r>
      <w:r w:rsidRPr="007358B4">
        <w:rPr>
          <w:sz w:val="24"/>
          <w:szCs w:val="24"/>
        </w:rPr>
        <w:t>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 Объявление о проведении отбора размещается на официальном сайте уполномоченного органа в информационно-телекоммуникационной сети «Интернет» (далее - официальный сайт), на котором обеспечивается проведение отбора, не </w:t>
      </w:r>
      <w:proofErr w:type="gramStart"/>
      <w:r w:rsidRPr="007358B4">
        <w:rPr>
          <w:sz w:val="24"/>
          <w:szCs w:val="24"/>
        </w:rPr>
        <w:t>позднее</w:t>
      </w:r>
      <w:proofErr w:type="gramEnd"/>
      <w:r w:rsidRPr="007358B4">
        <w:rPr>
          <w:sz w:val="24"/>
          <w:szCs w:val="24"/>
        </w:rPr>
        <w:t xml:space="preserve"> чем за 30 календарных дней до даты начала проведения отбора.</w:t>
      </w:r>
    </w:p>
    <w:p w:rsidR="001A7F46" w:rsidRPr="007358B4" w:rsidRDefault="001A7F46" w:rsidP="001A7F46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spacing w:after="160"/>
        <w:ind w:left="0" w:firstLine="709"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Отбор проводится ежегодно с 1 января по 5 декабря.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Дата начала приема предложений (заявок): 1 января.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Дата окончания приема предложений (заявок): 15 ноября.</w:t>
      </w:r>
    </w:p>
    <w:p w:rsidR="001A7F46" w:rsidRPr="007358B4" w:rsidRDefault="001A7F46" w:rsidP="001A7F46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spacing w:after="160"/>
        <w:ind w:left="0" w:firstLine="709"/>
        <w:jc w:val="both"/>
        <w:rPr>
          <w:color w:val="FF0000"/>
          <w:sz w:val="24"/>
          <w:szCs w:val="24"/>
        </w:rPr>
      </w:pPr>
      <w:r w:rsidRPr="007358B4">
        <w:rPr>
          <w:sz w:val="24"/>
          <w:szCs w:val="24"/>
        </w:rPr>
        <w:t>В объявлении о проведении отбора указываются следующие сведения: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цели предоставления субсидии в соответствии с пунктом </w:t>
      </w:r>
      <w:r w:rsidR="0043432B">
        <w:fldChar w:fldCharType="begin"/>
      </w:r>
      <w:r w:rsidR="0043432B">
        <w:instrText xml:space="preserve"> REF _Ref56163217 \r \h  \* MERGEFORMAT </w:instrText>
      </w:r>
      <w:r w:rsidR="0043432B">
        <w:fldChar w:fldCharType="separate"/>
      </w:r>
      <w:r>
        <w:t>2</w:t>
      </w:r>
      <w:r w:rsidR="0043432B">
        <w:fldChar w:fldCharType="end"/>
      </w:r>
      <w:r w:rsidRPr="007358B4">
        <w:rPr>
          <w:sz w:val="24"/>
          <w:szCs w:val="24"/>
        </w:rPr>
        <w:t xml:space="preserve"> настоящего Порядка, а также результаты предоставления субсидии в соответствии с пунктом 39 настоящего Порядка;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доменное имя, и (или) сетевой адрес, и (или) указатель страниц </w:t>
      </w:r>
      <w:r w:rsidRPr="007358B4">
        <w:rPr>
          <w:strike/>
          <w:sz w:val="24"/>
          <w:szCs w:val="24"/>
        </w:rPr>
        <w:t xml:space="preserve">сайта </w:t>
      </w:r>
      <w:r w:rsidRPr="007358B4">
        <w:rPr>
          <w:sz w:val="24"/>
          <w:szCs w:val="24"/>
        </w:rPr>
        <w:t>официального сайта, на котором обеспечивается проведение отбора;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lastRenderedPageBreak/>
        <w:t>требования к исполнителям услуг в соответствии с пунктом 12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14 настоящего Порядка;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  <w:shd w:val="clear" w:color="auto" w:fill="FFFFFF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7358B4">
        <w:rPr>
          <w:sz w:val="24"/>
          <w:szCs w:val="24"/>
          <w:shd w:val="clear" w:color="auto" w:fill="FFFFFF"/>
        </w:rPr>
        <w:t>определяющий</w:t>
      </w:r>
      <w:proofErr w:type="gramEnd"/>
      <w:r w:rsidRPr="007358B4">
        <w:rPr>
          <w:sz w:val="24"/>
          <w:szCs w:val="24"/>
          <w:shd w:val="clear" w:color="auto" w:fill="FFFFFF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правила рассмотрения и оценки заявок </w:t>
      </w:r>
      <w:r w:rsidRPr="007358B4">
        <w:rPr>
          <w:sz w:val="24"/>
          <w:szCs w:val="24"/>
          <w:shd w:val="clear" w:color="auto" w:fill="FFFFFF"/>
        </w:rPr>
        <w:t>исполнителей</w:t>
      </w:r>
      <w:r w:rsidRPr="007358B4">
        <w:rPr>
          <w:sz w:val="24"/>
          <w:szCs w:val="24"/>
        </w:rPr>
        <w:t xml:space="preserve"> услуг в соответствии с  пунктом 17 настоящего Порядка;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порядок предоставления </w:t>
      </w:r>
      <w:r w:rsidRPr="007358B4">
        <w:rPr>
          <w:sz w:val="24"/>
          <w:szCs w:val="24"/>
          <w:shd w:val="clear" w:color="auto" w:fill="FFFFFF"/>
        </w:rPr>
        <w:t>исполнителям</w:t>
      </w:r>
      <w:r w:rsidRPr="007358B4">
        <w:rPr>
          <w:sz w:val="24"/>
          <w:szCs w:val="24"/>
        </w:rPr>
        <w:t xml:space="preserve"> услуг разъяснений положений объявления о проведении отбора, даты начала и окончания срока такого предоставления;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7358B4">
        <w:rPr>
          <w:sz w:val="24"/>
          <w:szCs w:val="24"/>
        </w:rPr>
        <w:t>уклонившимся</w:t>
      </w:r>
      <w:proofErr w:type="gramEnd"/>
      <w:r w:rsidRPr="007358B4">
        <w:rPr>
          <w:sz w:val="24"/>
          <w:szCs w:val="24"/>
        </w:rPr>
        <w:t xml:space="preserve"> от заключения соглашения;</w:t>
      </w:r>
    </w:p>
    <w:p w:rsidR="001A7F46" w:rsidRPr="007358B4" w:rsidRDefault="001A7F46" w:rsidP="001A7F46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2" w:name="_Ref30949936"/>
      <w:r w:rsidRPr="007358B4">
        <w:rPr>
          <w:sz w:val="24"/>
          <w:szCs w:val="24"/>
          <w:shd w:val="clear" w:color="auto" w:fill="FFFFFF"/>
        </w:rPr>
        <w:t>исполнитель</w:t>
      </w:r>
      <w:r w:rsidRPr="007358B4">
        <w:rPr>
          <w:rFonts w:eastAsia="Calibri"/>
          <w:sz w:val="24"/>
          <w:szCs w:val="24"/>
          <w:lang w:eastAsia="en-US"/>
        </w:rPr>
        <w:t xml:space="preserve"> услуг вправе участвовать в отборе </w:t>
      </w:r>
      <w:r w:rsidRPr="007358B4">
        <w:rPr>
          <w:sz w:val="24"/>
          <w:szCs w:val="24"/>
          <w:shd w:val="clear" w:color="auto" w:fill="FFFFFF"/>
        </w:rPr>
        <w:t>исполнителей</w:t>
      </w:r>
      <w:r w:rsidRPr="007358B4">
        <w:rPr>
          <w:rFonts w:eastAsia="Calibri"/>
          <w:sz w:val="24"/>
          <w:szCs w:val="24"/>
          <w:lang w:eastAsia="en-US"/>
        </w:rPr>
        <w:t xml:space="preserve"> услуг при одновременном </w:t>
      </w:r>
      <w:r w:rsidRPr="007358B4">
        <w:rPr>
          <w:rFonts w:eastAsia="Calibri"/>
          <w:strike/>
          <w:sz w:val="24"/>
          <w:szCs w:val="24"/>
          <w:lang w:eastAsia="en-US"/>
        </w:rPr>
        <w:t>и</w:t>
      </w:r>
      <w:r w:rsidRPr="007358B4">
        <w:rPr>
          <w:rFonts w:eastAsia="Calibri"/>
          <w:sz w:val="24"/>
          <w:szCs w:val="24"/>
          <w:lang w:eastAsia="en-US"/>
        </w:rPr>
        <w:t xml:space="preserve"> соответствии на 1 число месяца, в котором им подается заявка на участие в отборе, следующим требованиям:</w:t>
      </w:r>
      <w:bookmarkEnd w:id="2"/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исполнитель услуг включен в реестр исполнителей образовательных услуг;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образовательная услуга включена в реестр сертифицированных программ;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7358B4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Pr="007358B4">
        <w:rPr>
          <w:rFonts w:eastAsia="Calibri"/>
          <w:sz w:val="24"/>
          <w:szCs w:val="24"/>
          <w:lang w:eastAsia="en-US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превышает 50 процентов;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участник отбора не получает средства из бюджета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в соответствии с иными правовыми актами на цели, установленные настоящим Порядком;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у участника отбора отсутствует просроченная задолженность по возврату в бюджет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субсидий, бюджетных инвестиций,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предоставленных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в том числе в соответствии с иными правовыми актами;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участник отбора, являющийся юридическим лицом,  не должен находиться в </w:t>
      </w:r>
      <w:r w:rsidRPr="007358B4">
        <w:rPr>
          <w:rFonts w:eastAsia="Calibri"/>
          <w:sz w:val="24"/>
          <w:szCs w:val="24"/>
          <w:lang w:eastAsia="en-US"/>
        </w:rPr>
        <w:lastRenderedPageBreak/>
        <w:t>процессе ликвидации, реорганизации, (за исключением реорганизации в форме присоединения к юридическому лицу, являющемуся участником отбора, другого юридического лица)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предпринимателя;</w:t>
      </w:r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 </w:t>
      </w:r>
      <w:proofErr w:type="gramEnd"/>
    </w:p>
    <w:p w:rsidR="001A7F46" w:rsidRPr="007358B4" w:rsidRDefault="001A7F46" w:rsidP="001A7F46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органа;</w:t>
      </w:r>
    </w:p>
    <w:p w:rsidR="001A7F46" w:rsidRPr="007358B4" w:rsidRDefault="001A7F46" w:rsidP="001A7F46">
      <w:pPr>
        <w:pStyle w:val="a7"/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Документы, подтверждающие соответствие исполнителя услуг критериям, указанным в пункте  12</w:t>
      </w:r>
      <w:r w:rsidRPr="007358B4">
        <w:rPr>
          <w:rFonts w:eastAsia="Calibri"/>
          <w:color w:val="FF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7358B4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358B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1A7F46" w:rsidRPr="007358B4" w:rsidRDefault="001A7F46" w:rsidP="001A7F46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3" w:name="_Ref56176578"/>
      <w:proofErr w:type="gramStart"/>
      <w:r w:rsidRPr="007358B4">
        <w:rPr>
          <w:rFonts w:eastAsia="Calibri"/>
          <w:sz w:val="24"/>
          <w:szCs w:val="24"/>
          <w:lang w:eastAsia="en-US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jc w:val="both"/>
        <w:rPr>
          <w:rFonts w:eastAsia="Calibri"/>
          <w:strike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Исполнители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</w:t>
      </w:r>
      <w:r w:rsidRPr="007358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358B4">
        <w:rPr>
          <w:rFonts w:eastAsia="Calibri"/>
          <w:sz w:val="24"/>
          <w:szCs w:val="24"/>
          <w:lang w:eastAsia="en-US"/>
        </w:rPr>
        <w:t>проведении отбора в соответствии с подпунктом 2 пункта 11 настоящего Порядка, либо посредством почтовой связи, либо в течение 2 рабочих дней после подачи заявки на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участие в отборе должны лично явиться в уполномоченный орган для подписания указанного согласия.</w:t>
      </w:r>
      <w:r w:rsidRPr="007358B4"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1A7F46" w:rsidRPr="007358B4" w:rsidRDefault="001A7F46" w:rsidP="001A7F46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spacing w:after="1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1A7F46" w:rsidRPr="007358B4" w:rsidRDefault="001A7F46" w:rsidP="001A7F46">
      <w:pPr>
        <w:numPr>
          <w:ilvl w:val="0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4" w:name="_Ref56178150"/>
      <w:r w:rsidRPr="007358B4">
        <w:rPr>
          <w:rFonts w:eastAsia="Calibri"/>
          <w:sz w:val="24"/>
          <w:szCs w:val="24"/>
          <w:lang w:eastAsia="en-US"/>
        </w:rPr>
        <w:t xml:space="preserve">Должностные лица </w:t>
      </w:r>
      <w:r w:rsidRPr="007358B4">
        <w:rPr>
          <w:sz w:val="24"/>
          <w:szCs w:val="24"/>
        </w:rPr>
        <w:t xml:space="preserve">Комитета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358B4">
        <w:rPr>
          <w:rFonts w:eastAsia="Calibri"/>
          <w:sz w:val="24"/>
          <w:szCs w:val="24"/>
          <w:lang w:eastAsia="en-US"/>
        </w:rPr>
        <w:t>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рамочного соглашения с исполнителем услуг.</w:t>
      </w:r>
      <w:bookmarkEnd w:id="4"/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В случае принятия решения о заключении рамочного соглашения с исполнителем услуг, уполномоченный орган в течение 5-ти  рабочих дней направляет исполнителю услуг 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 подписанного рамочного соглашения, подписать рамочное соглашение и направить один подписанный экземпляр.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18. Решение об отклонении заявки на стадии рассмотрения и об отказе в заключени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рамочного соглашения с исполнителем услуг принимается </w:t>
      </w:r>
      <w:r w:rsidRPr="007358B4">
        <w:rPr>
          <w:sz w:val="24"/>
          <w:szCs w:val="24"/>
        </w:rPr>
        <w:t xml:space="preserve">Комитетом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sz w:val="24"/>
          <w:szCs w:val="24"/>
          <w:lang w:eastAsia="en-US"/>
        </w:rPr>
        <w:t xml:space="preserve"> в следующих случаях:</w:t>
      </w:r>
    </w:p>
    <w:p w:rsidR="001A7F46" w:rsidRPr="007358B4" w:rsidRDefault="001A7F46" w:rsidP="001A7F46">
      <w:pPr>
        <w:numPr>
          <w:ilvl w:val="0"/>
          <w:numId w:val="1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несоответствие исполнителя услуг требованиям, установленным пунктом 12 настоящего Порядка;</w:t>
      </w:r>
      <w:bookmarkStart w:id="5" w:name="dst100079"/>
      <w:bookmarkEnd w:id="5"/>
    </w:p>
    <w:p w:rsidR="001A7F46" w:rsidRPr="007358B4" w:rsidRDefault="001A7F46" w:rsidP="001A7F46">
      <w:pPr>
        <w:numPr>
          <w:ilvl w:val="0"/>
          <w:numId w:val="1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1A7F46" w:rsidRPr="007358B4" w:rsidRDefault="001A7F46" w:rsidP="001A7F46">
      <w:pPr>
        <w:numPr>
          <w:ilvl w:val="0"/>
          <w:numId w:val="1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1A7F46" w:rsidRPr="007358B4" w:rsidRDefault="001A7F46" w:rsidP="001A7F46">
      <w:pPr>
        <w:numPr>
          <w:ilvl w:val="0"/>
          <w:numId w:val="14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подача исполнителем услуг заявки после даты, определенной для подачи заявок;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</w:t>
      </w:r>
      <w:r>
        <w:rPr>
          <w:rFonts w:eastAsia="Calibri"/>
          <w:sz w:val="24"/>
          <w:szCs w:val="24"/>
          <w:lang w:eastAsia="en-US"/>
        </w:rPr>
        <w:tab/>
      </w:r>
      <w:r w:rsidRPr="007358B4">
        <w:rPr>
          <w:rFonts w:eastAsia="Calibri"/>
          <w:sz w:val="24"/>
          <w:szCs w:val="24"/>
          <w:lang w:eastAsia="en-US"/>
        </w:rPr>
        <w:t>наличие заключенного между уполномоченным органом и поставщиком услуг в соответствии с настоящим порядком и не расторгнутого на момент принятия решения рамочного соглашения.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19. Информация о результатах рассмотрения заявки исполнителя услуг размещается на едином,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1A7F46" w:rsidRPr="007358B4" w:rsidRDefault="001A7F46" w:rsidP="001A7F46">
      <w:pPr>
        <w:numPr>
          <w:ilvl w:val="1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дату, время и место проведения рассмотрения заявок;</w:t>
      </w:r>
    </w:p>
    <w:p w:rsidR="001A7F46" w:rsidRPr="007358B4" w:rsidRDefault="001A7F46" w:rsidP="001A7F46">
      <w:pPr>
        <w:numPr>
          <w:ilvl w:val="1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информация об исполнителях</w:t>
      </w:r>
      <w:r w:rsidRPr="007358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358B4">
        <w:rPr>
          <w:rFonts w:eastAsia="Calibri"/>
          <w:sz w:val="24"/>
          <w:szCs w:val="24"/>
          <w:lang w:eastAsia="en-US"/>
        </w:rPr>
        <w:t>услуг, заявки которых были рассмотрены;</w:t>
      </w:r>
    </w:p>
    <w:p w:rsidR="001A7F46" w:rsidRPr="007358B4" w:rsidRDefault="001A7F46" w:rsidP="001A7F46">
      <w:pPr>
        <w:numPr>
          <w:ilvl w:val="1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информация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о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A7F46" w:rsidRPr="007358B4" w:rsidRDefault="001A7F46" w:rsidP="001A7F46">
      <w:pPr>
        <w:numPr>
          <w:ilvl w:val="1"/>
          <w:numId w:val="3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наименование получателя (получателей) субсидии, с которым заключается  соглашение, и порядок расчета размера предоставляемой получателю (получателям) субсидии.</w:t>
      </w:r>
    </w:p>
    <w:p w:rsidR="001A7F46" w:rsidRPr="007358B4" w:rsidRDefault="001A7F46" w:rsidP="001A7F46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Рамочное соглашение с исполнителем услуг должно содержать следующие положения:</w:t>
      </w:r>
    </w:p>
    <w:p w:rsidR="001A7F46" w:rsidRPr="007358B4" w:rsidRDefault="001A7F46" w:rsidP="001A7F46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наименование исполнителя услуг и уполномоченного органа;</w:t>
      </w:r>
    </w:p>
    <w:p w:rsidR="001A7F46" w:rsidRPr="007358B4" w:rsidRDefault="001A7F46" w:rsidP="001A7F46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обязательство исполнителя услуг о приеме на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1A7F46" w:rsidRPr="007358B4" w:rsidRDefault="001A7F46" w:rsidP="001A7F46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1A7F46" w:rsidRPr="007358B4" w:rsidRDefault="001A7F46" w:rsidP="001A7F46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1A7F46" w:rsidRPr="007358B4" w:rsidRDefault="001A7F46" w:rsidP="001A7F46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условие о согласовании новых условий  рамочного соглашения или о расторжении рамочного соглашения при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недостижении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358B4">
        <w:rPr>
          <w:rFonts w:eastAsia="Calibri"/>
          <w:b/>
          <w:bCs/>
          <w:sz w:val="24"/>
          <w:szCs w:val="24"/>
          <w:lang w:eastAsia="en-US"/>
        </w:rPr>
        <w:t>Раздел II</w:t>
      </w:r>
      <w:r w:rsidRPr="007358B4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7358B4">
        <w:rPr>
          <w:rFonts w:eastAsia="Calibri"/>
          <w:b/>
          <w:bCs/>
          <w:sz w:val="24"/>
          <w:szCs w:val="24"/>
          <w:lang w:eastAsia="en-US"/>
        </w:rPr>
        <w:t>. Условия и порядок предоставления грантов</w:t>
      </w:r>
    </w:p>
    <w:p w:rsidR="001A7F46" w:rsidRPr="007358B4" w:rsidRDefault="001A7F46" w:rsidP="001A7F46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bookmarkStart w:id="8" w:name="_Ref25498205"/>
      <w:r w:rsidRPr="007358B4">
        <w:rPr>
          <w:rFonts w:eastAsia="Calibri"/>
          <w:sz w:val="24"/>
          <w:szCs w:val="24"/>
          <w:lang w:eastAsia="en-US"/>
        </w:rPr>
        <w:t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II настоящего Порядка;</w:t>
      </w:r>
    </w:p>
    <w:p w:rsidR="001A7F46" w:rsidRPr="007358B4" w:rsidRDefault="001A7F46" w:rsidP="001A7F46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1A7F46" w:rsidRPr="007358B4" w:rsidRDefault="001A7F46" w:rsidP="001A7F46">
      <w:pPr>
        <w:pStyle w:val="a7"/>
        <w:numPr>
          <w:ilvl w:val="0"/>
          <w:numId w:val="1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7358B4">
        <w:rPr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7358B4">
        <w:rPr>
          <w:sz w:val="24"/>
          <w:szCs w:val="24"/>
        </w:rPr>
        <w:t xml:space="preserve"> следующей формуле:</w:t>
      </w:r>
    </w:p>
    <w:p w:rsidR="001A7F46" w:rsidRPr="007358B4" w:rsidRDefault="0072160C" w:rsidP="001A7F4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</m:oMath>
      <w:proofErr w:type="gramStart"/>
      <w:r w:rsidR="001A7F46" w:rsidRPr="007358B4">
        <w:rPr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  <w:r w:rsidR="001A7F46" w:rsidRPr="007358B4">
        <w:rPr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sub>
        </m:sSub>
      </m:oMath>
      <w:r w:rsidR="001A7F46" w:rsidRPr="007358B4">
        <w:rPr>
          <w:sz w:val="24"/>
          <w:szCs w:val="24"/>
        </w:rPr>
        <w:t>), где</w:t>
      </w:r>
      <w:proofErr w:type="gramEnd"/>
    </w:p>
    <w:p w:rsidR="001A7F46" w:rsidRPr="007358B4" w:rsidRDefault="0072160C" w:rsidP="001A7F4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1A7F46" w:rsidRPr="007358B4" w:rsidDel="000A27CD">
        <w:rPr>
          <w:sz w:val="24"/>
          <w:szCs w:val="24"/>
        </w:rPr>
        <w:t xml:space="preserve">– </w:t>
      </w:r>
      <w:r w:rsidR="001A7F46" w:rsidRPr="007358B4">
        <w:rPr>
          <w:sz w:val="24"/>
          <w:szCs w:val="24"/>
        </w:rPr>
        <w:t>размер гранта в форме субсидии</w:t>
      </w:r>
      <w:r w:rsidR="001A7F46" w:rsidRPr="007358B4" w:rsidDel="000A27CD">
        <w:rPr>
          <w:sz w:val="24"/>
          <w:szCs w:val="24"/>
        </w:rPr>
        <w:t>;</w:t>
      </w:r>
    </w:p>
    <w:p w:rsidR="001A7F46" w:rsidRPr="007358B4" w:rsidRDefault="0072160C" w:rsidP="001A7F4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1A7F46" w:rsidRPr="007358B4">
        <w:rPr>
          <w:i/>
          <w:sz w:val="24"/>
          <w:szCs w:val="24"/>
        </w:rPr>
        <w:t xml:space="preserve"> –</w:t>
      </w:r>
      <w:r w:rsidR="001A7F46" w:rsidRPr="007358B4">
        <w:rPr>
          <w:sz w:val="24"/>
          <w:szCs w:val="24"/>
        </w:rPr>
        <w:t xml:space="preserve">объём услуги </w:t>
      </w:r>
      <w:proofErr w:type="gramStart"/>
      <w:r w:rsidR="001A7F46" w:rsidRPr="007358B4">
        <w:rPr>
          <w:sz w:val="24"/>
          <w:szCs w:val="24"/>
        </w:rPr>
        <w:t>в</w:t>
      </w:r>
      <w:proofErr w:type="gramEnd"/>
      <w:r w:rsidR="001A7F46" w:rsidRPr="007358B4">
        <w:rPr>
          <w:sz w:val="24"/>
          <w:szCs w:val="24"/>
        </w:rPr>
        <w:t xml:space="preserve"> </w:t>
      </w:r>
      <w:proofErr w:type="gramStart"/>
      <w:r w:rsidR="001A7F46" w:rsidRPr="007358B4">
        <w:rPr>
          <w:sz w:val="24"/>
          <w:szCs w:val="24"/>
        </w:rPr>
        <w:t>чел</w:t>
      </w:r>
      <w:proofErr w:type="gramEnd"/>
      <w:r w:rsidR="001A7F46" w:rsidRPr="007358B4">
        <w:rPr>
          <w:sz w:val="24"/>
          <w:szCs w:val="24"/>
        </w:rPr>
        <w:t>./часах;</w:t>
      </w:r>
    </w:p>
    <w:p w:rsidR="001A7F46" w:rsidRPr="007358B4" w:rsidRDefault="0072160C" w:rsidP="001A7F4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1A7F46" w:rsidRPr="007358B4">
        <w:rPr>
          <w:sz w:val="24"/>
          <w:szCs w:val="24"/>
        </w:rPr>
        <w:t>– нормативные затраты на оказание услуги.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орган, заявку на авансирование средств из местного бюджета, содержащую сумму и месяц авансирования,  и реестр договоров об образовании, по которым запрашивается авансирование (далее – реестр договоров на авансирование).</w:t>
      </w:r>
      <w:bookmarkEnd w:id="8"/>
      <w:r w:rsidRPr="007358B4">
        <w:rPr>
          <w:rFonts w:eastAsia="Calibri"/>
          <w:sz w:val="24"/>
          <w:szCs w:val="24"/>
          <w:lang w:eastAsia="en-US"/>
        </w:rPr>
        <w:t xml:space="preserve"> 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Реестр договоров на авансирование содержит следующие сведения: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наименование исполнителя услуг;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месяц, на который предполагается авансирование;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идентификаторы (номера) сертификатов дополнительного образования;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реквизиты (даты и номера заключения) договоров об образовании;</w:t>
      </w:r>
    </w:p>
    <w:p w:rsidR="001A7F46" w:rsidRPr="007358B4" w:rsidRDefault="001A7F46" w:rsidP="001A7F46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объем финансовых обязательств на текущий месяц в соответствии с договорами об образовании.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от совокупных финансовых обязательств на текущий месяц в </w:t>
      </w:r>
      <w:r w:rsidRPr="007358B4">
        <w:rPr>
          <w:rFonts w:eastAsia="Calibri"/>
          <w:sz w:val="24"/>
          <w:szCs w:val="24"/>
          <w:lang w:eastAsia="en-US"/>
        </w:rPr>
        <w:lastRenderedPageBreak/>
        <w:t>соответствии с договорами об образовании</w:t>
      </w:r>
      <w:proofErr w:type="gramEnd"/>
      <w:r w:rsidRPr="007358B4">
        <w:rPr>
          <w:rFonts w:eastAsia="Calibri"/>
          <w:sz w:val="24"/>
          <w:szCs w:val="24"/>
          <w:lang w:eastAsia="en-US"/>
        </w:rPr>
        <w:t>, включенными в реестр договоров на авансирование.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дств в с</w:t>
      </w:r>
      <w:proofErr w:type="gramEnd"/>
      <w:r w:rsidRPr="007358B4">
        <w:rPr>
          <w:rFonts w:eastAsia="Calibri"/>
          <w:sz w:val="24"/>
          <w:szCs w:val="24"/>
          <w:lang w:eastAsia="en-US"/>
        </w:rPr>
        <w:t>оответствии с заявкой на авансирование снижается на величину соответствующей переплаты.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9" w:name="_Ref8587839"/>
      <w:r w:rsidRPr="007358B4">
        <w:rPr>
          <w:rFonts w:eastAsia="Calibri"/>
          <w:sz w:val="24"/>
          <w:szCs w:val="24"/>
          <w:lang w:eastAsia="en-US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0" w:name="_Ref8587840"/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Исполнитель услуг ежемесячно до в срок, установленный уполномоченным органом, формирует и направляет посредством информационной системы в </w:t>
      </w:r>
      <w:r w:rsidRPr="007358B4">
        <w:rPr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sz w:val="24"/>
          <w:szCs w:val="24"/>
          <w:lang w:eastAsia="en-US"/>
        </w:rPr>
        <w:t xml:space="preserve"> заявку на перечисление средств из местного бюджета, а также реестр</w:t>
      </w:r>
      <w:r w:rsidRPr="007358B4">
        <w:rPr>
          <w:rFonts w:eastAsia="Calibri"/>
          <w:strike/>
          <w:sz w:val="24"/>
          <w:szCs w:val="24"/>
          <w:lang w:eastAsia="en-US"/>
        </w:rPr>
        <w:t>а</w:t>
      </w:r>
      <w:r w:rsidRPr="007358B4">
        <w:rPr>
          <w:rFonts w:eastAsia="Calibri"/>
          <w:sz w:val="24"/>
          <w:szCs w:val="24"/>
          <w:lang w:eastAsia="en-US"/>
        </w:rPr>
        <w:t xml:space="preserve"> договоров об  образовании, по которым были оказаны образовательные услуги за отчетный месяц (далее – реестр договоров на оплату).</w:t>
      </w:r>
      <w:bookmarkEnd w:id="10"/>
      <w:proofErr w:type="gramEnd"/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Реестр договоров на оплату должен содержать следующие сведения: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наименование исполнителя услуг;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месяц, за который сформирован реестр;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идентификаторы (номера) сертификатов персонифицированного финансирования;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реквизиты (даты и номера заключения) договоров об образовании;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A7F46" w:rsidRPr="007358B4" w:rsidRDefault="001A7F46" w:rsidP="001A7F4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,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1" w:name="_Ref25498208"/>
      <w:r w:rsidRPr="007358B4">
        <w:rPr>
          <w:rFonts w:eastAsia="Calibri"/>
          <w:sz w:val="24"/>
          <w:szCs w:val="24"/>
          <w:lang w:eastAsia="en-US"/>
        </w:rPr>
        <w:t>Выполнение действий, предусмотренных пунктом 29</w:t>
      </w:r>
      <w:r w:rsidRPr="007358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358B4">
        <w:rPr>
          <w:rFonts w:eastAsia="Calibri"/>
          <w:sz w:val="24"/>
          <w:szCs w:val="24"/>
          <w:lang w:eastAsia="en-US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В предоставлении гранта может быть отказано в следующих случаях:</w:t>
      </w:r>
    </w:p>
    <w:p w:rsidR="001A7F46" w:rsidRPr="007358B4" w:rsidRDefault="001A7F46" w:rsidP="001A7F46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jc w:val="both"/>
        <w:rPr>
          <w:rStyle w:val="blk"/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 </w:t>
      </w:r>
      <w:r w:rsidRPr="007358B4">
        <w:rPr>
          <w:rStyle w:val="blk"/>
          <w:sz w:val="24"/>
          <w:szCs w:val="24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1A7F46" w:rsidRPr="007358B4" w:rsidRDefault="001A7F46" w:rsidP="001A7F46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jc w:val="both"/>
        <w:rPr>
          <w:rStyle w:val="blk"/>
          <w:rFonts w:eastAsia="Calibri"/>
          <w:sz w:val="24"/>
          <w:szCs w:val="24"/>
          <w:lang w:eastAsia="en-US"/>
        </w:rPr>
      </w:pPr>
      <w:r w:rsidRPr="007358B4">
        <w:rPr>
          <w:rStyle w:val="blk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:rsidR="001A7F46" w:rsidRPr="007358B4" w:rsidRDefault="001A7F46" w:rsidP="001A7F46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области, являющийся главным распорядителем как получателем бюджетных средств,</w:t>
      </w:r>
      <w:r w:rsidRPr="007358B4">
        <w:rPr>
          <w:rFonts w:eastAsia="Calibri"/>
          <w:sz w:val="24"/>
          <w:szCs w:val="24"/>
          <w:lang w:eastAsia="en-US"/>
        </w:rPr>
        <w:t xml:space="preserve">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 соглашение о предоставлении </w:t>
      </w:r>
      <w:r w:rsidRPr="007358B4">
        <w:rPr>
          <w:rFonts w:eastAsia="Calibri"/>
          <w:sz w:val="24"/>
          <w:szCs w:val="24"/>
          <w:lang w:eastAsia="en-US"/>
        </w:rPr>
        <w:lastRenderedPageBreak/>
        <w:t>исполнителю услуг гранта в форме субсидии в форме безотзывной оферты, содержащее следующие положения:</w:t>
      </w:r>
      <w:proofErr w:type="gramEnd"/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наименование исполнителя услуг и уполномоченного органа;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обязательство уполномоченного органа о перечислении средств местного бюджета исполнителю услуг;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заключение соглашения путем подписания исполнителем услуг соглашения в форме безотзывной оферты;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порядок и сроки перечисления гранта в форме субсидии;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порядок взыскания (возврата) сре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дств гр</w:t>
      </w:r>
      <w:proofErr w:type="gramEnd"/>
      <w:r w:rsidRPr="007358B4">
        <w:rPr>
          <w:rFonts w:eastAsia="Calibri"/>
          <w:sz w:val="24"/>
          <w:szCs w:val="24"/>
          <w:lang w:eastAsia="en-US"/>
        </w:rPr>
        <w:t>анта в форме субсидии в случае нарушения порядка, целей и условий его предоставления;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порядок, формы и сроки представления отчетов;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ответственность сторон за нарушение условий соглашения.</w:t>
      </w:r>
    </w:p>
    <w:p w:rsidR="001A7F46" w:rsidRPr="007358B4" w:rsidRDefault="001A7F46" w:rsidP="001A7F46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недостижении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Соглашение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между </w:t>
      </w:r>
      <w:r w:rsidRPr="007358B4">
        <w:rPr>
          <w:sz w:val="24"/>
          <w:szCs w:val="24"/>
        </w:rPr>
        <w:t xml:space="preserve">Комитетом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области, являющимся главным распорядителем как получателем бюджетных средств, и получателем гранта в форме субсидии</w:t>
      </w:r>
      <w:r w:rsidRPr="007358B4">
        <w:rPr>
          <w:rFonts w:eastAsia="Calibri"/>
          <w:sz w:val="24"/>
          <w:szCs w:val="24"/>
          <w:lang w:eastAsia="en-US"/>
        </w:rPr>
        <w:t xml:space="preserve"> заключается по установленной комитетом финансов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Ленинградской области типовой форме.</w:t>
      </w:r>
      <w:proofErr w:type="gramEnd"/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2" w:name="dst100088"/>
      <w:bookmarkStart w:id="13" w:name="dst100089"/>
      <w:bookmarkEnd w:id="12"/>
      <w:bookmarkEnd w:id="13"/>
      <w:r w:rsidRPr="007358B4">
        <w:rPr>
          <w:rFonts w:eastAsia="Calibri"/>
          <w:sz w:val="24"/>
          <w:szCs w:val="24"/>
          <w:lang w:eastAsia="en-US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1A7F46" w:rsidRPr="007358B4" w:rsidRDefault="001A7F46" w:rsidP="001A7F46">
      <w:pPr>
        <w:numPr>
          <w:ilvl w:val="0"/>
          <w:numId w:val="5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1A7F46" w:rsidRPr="007358B4" w:rsidRDefault="001A7F46" w:rsidP="001A7F46">
      <w:pPr>
        <w:numPr>
          <w:ilvl w:val="0"/>
          <w:numId w:val="5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A7F46" w:rsidRPr="007358B4" w:rsidRDefault="001A7F46" w:rsidP="001A7F46">
      <w:pPr>
        <w:numPr>
          <w:ilvl w:val="0"/>
          <w:numId w:val="5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Грант в форме субсидии не может быть использован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на</w:t>
      </w:r>
      <w:proofErr w:type="gramEnd"/>
      <w:r w:rsidRPr="007358B4">
        <w:rPr>
          <w:rFonts w:eastAsia="Calibri"/>
          <w:sz w:val="24"/>
          <w:szCs w:val="24"/>
          <w:lang w:eastAsia="en-US"/>
        </w:rPr>
        <w:t>:</w:t>
      </w:r>
    </w:p>
    <w:p w:rsidR="001A7F46" w:rsidRPr="007358B4" w:rsidRDefault="001A7F46" w:rsidP="001A7F46">
      <w:pPr>
        <w:numPr>
          <w:ilvl w:val="0"/>
          <w:numId w:val="11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капитальное строительство и инвестиции;</w:t>
      </w:r>
    </w:p>
    <w:p w:rsidR="001A7F46" w:rsidRPr="007358B4" w:rsidRDefault="001A7F46" w:rsidP="001A7F46">
      <w:pPr>
        <w:numPr>
          <w:ilvl w:val="0"/>
          <w:numId w:val="11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A7F46" w:rsidRPr="007358B4" w:rsidRDefault="001A7F46" w:rsidP="001A7F46">
      <w:pPr>
        <w:numPr>
          <w:ilvl w:val="0"/>
          <w:numId w:val="11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деятельность, запрещенную действующим законодательством.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субсидии, </w:t>
      </w:r>
      <w:r w:rsidRPr="007358B4">
        <w:rPr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sz w:val="24"/>
          <w:szCs w:val="24"/>
          <w:lang w:eastAsia="en-US"/>
        </w:rPr>
        <w:t xml:space="preserve"> досрочно расторгает соглашение с последующим возвратом гранта в форме субсидии.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358B4">
        <w:rPr>
          <w:rFonts w:eastAsia="Calibri"/>
          <w:b/>
          <w:bCs/>
          <w:sz w:val="24"/>
          <w:szCs w:val="24"/>
          <w:lang w:eastAsia="en-US"/>
        </w:rPr>
        <w:t>Раздел I</w:t>
      </w:r>
      <w:r w:rsidRPr="007358B4">
        <w:rPr>
          <w:rFonts w:eastAsia="Calibri"/>
          <w:b/>
          <w:bCs/>
          <w:sz w:val="24"/>
          <w:szCs w:val="24"/>
          <w:lang w:val="en-US" w:eastAsia="en-US"/>
        </w:rPr>
        <w:t>V</w:t>
      </w:r>
      <w:r w:rsidRPr="007358B4">
        <w:rPr>
          <w:rFonts w:eastAsia="Calibri"/>
          <w:b/>
          <w:bCs/>
          <w:sz w:val="24"/>
          <w:szCs w:val="24"/>
          <w:lang w:eastAsia="en-US"/>
        </w:rPr>
        <w:t>. Требования к отчетности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Результатом предоставления гранта является оказание образовательных </w:t>
      </w:r>
      <w:r w:rsidRPr="007358B4">
        <w:rPr>
          <w:strike/>
          <w:sz w:val="24"/>
          <w:szCs w:val="24"/>
        </w:rPr>
        <w:t>услуг</w:t>
      </w:r>
      <w:r w:rsidRPr="007358B4">
        <w:rPr>
          <w:sz w:val="24"/>
          <w:szCs w:val="24"/>
        </w:rPr>
        <w:t xml:space="preserve">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 </w:t>
      </w:r>
      <w:proofErr w:type="gramStart"/>
      <w:r w:rsidRPr="007358B4">
        <w:rPr>
          <w:sz w:val="24"/>
          <w:szCs w:val="24"/>
        </w:rPr>
        <w:t>с даты заключения</w:t>
      </w:r>
      <w:proofErr w:type="gramEnd"/>
      <w:r w:rsidRPr="007358B4">
        <w:rPr>
          <w:sz w:val="24"/>
          <w:szCs w:val="24"/>
        </w:rPr>
        <w:t xml:space="preserve"> рамочного соглашения в соответствии с пунктом 17 настоящего Порядка по дату окончания действия (расторжения) рамочного соглашения.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142"/>
          <w:tab w:val="left" w:pos="1134"/>
        </w:tabs>
        <w:spacing w:line="259" w:lineRule="auto"/>
        <w:ind w:left="0" w:firstLine="709"/>
        <w:contextualSpacing/>
        <w:jc w:val="both"/>
        <w:rPr>
          <w:sz w:val="24"/>
          <w:szCs w:val="24"/>
        </w:rPr>
      </w:pPr>
      <w:r w:rsidRPr="007358B4">
        <w:rPr>
          <w:sz w:val="24"/>
          <w:szCs w:val="24"/>
        </w:rPr>
        <w:t>Исполнитель услуг представляет в уполномоченный орган:</w:t>
      </w:r>
    </w:p>
    <w:p w:rsidR="001A7F46" w:rsidRPr="007358B4" w:rsidRDefault="001A7F46" w:rsidP="001A7F46">
      <w:pPr>
        <w:pStyle w:val="a7"/>
        <w:numPr>
          <w:ilvl w:val="0"/>
          <w:numId w:val="18"/>
        </w:numPr>
        <w:tabs>
          <w:tab w:val="left" w:pos="142"/>
          <w:tab w:val="left" w:pos="1134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7358B4">
        <w:rPr>
          <w:rStyle w:val="blk"/>
          <w:sz w:val="24"/>
          <w:szCs w:val="24"/>
        </w:rPr>
        <w:t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</w:t>
      </w:r>
    </w:p>
    <w:p w:rsidR="001A7F46" w:rsidRPr="007358B4" w:rsidRDefault="001A7F46" w:rsidP="001A7F46">
      <w:pPr>
        <w:pStyle w:val="a7"/>
        <w:numPr>
          <w:ilvl w:val="0"/>
          <w:numId w:val="18"/>
        </w:numPr>
        <w:tabs>
          <w:tab w:val="left" w:pos="142"/>
          <w:tab w:val="left" w:pos="1134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7358B4">
        <w:rPr>
          <w:sz w:val="24"/>
          <w:szCs w:val="24"/>
        </w:rPr>
        <w:t xml:space="preserve"> отчет об оказанных образовательных услугах в рамках системы персонифицированного финансирования  в порядке, сроки и по форме, установленным уполномоченным органом в соглашении о предоставлении гранта. 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20"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358B4">
        <w:rPr>
          <w:rFonts w:eastAsia="Calibri"/>
          <w:b/>
          <w:bCs/>
          <w:sz w:val="24"/>
          <w:szCs w:val="24"/>
          <w:lang w:eastAsia="en-US"/>
        </w:rPr>
        <w:t>Раздел V. Порядок осуществления контроля (мониторинга)</w:t>
      </w:r>
      <w:r w:rsidRPr="007358B4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 w:rsidRPr="007358B4">
        <w:rPr>
          <w:rFonts w:eastAsia="Calibri"/>
          <w:b/>
          <w:bCs/>
          <w:sz w:val="24"/>
          <w:szCs w:val="24"/>
          <w:lang w:eastAsia="en-US"/>
        </w:rPr>
        <w:t>за соблюдением целей, условий и порядка предоставления грантов и ответственности за их несоблюдение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Отдел внутреннего муниципального финансового контроля и внутреннего финансового аудита администрации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осуществляет проверку соблюдения условий, целей и порядка предоставления грантов в форме субсидий их получателями.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В целях соблюдения условий, целей и порядка предоставления грантов в форме субсидий ее получателями, отдел внутреннего муниципального финансового контроля и внутреннего финансового аудита администрации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осуществляет обязательную проверку получателей грантов в форме субсидий, направленную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на</w:t>
      </w:r>
      <w:proofErr w:type="gramEnd"/>
      <w:r w:rsidRPr="007358B4">
        <w:rPr>
          <w:rFonts w:eastAsia="Calibri"/>
          <w:sz w:val="24"/>
          <w:szCs w:val="24"/>
          <w:lang w:eastAsia="en-US"/>
        </w:rPr>
        <w:t>:</w:t>
      </w:r>
    </w:p>
    <w:p w:rsidR="001A7F46" w:rsidRPr="007358B4" w:rsidRDefault="001A7F46" w:rsidP="001A7F46">
      <w:pPr>
        <w:numPr>
          <w:ilvl w:val="0"/>
          <w:numId w:val="12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A7F46" w:rsidRPr="007358B4" w:rsidRDefault="001A7F46" w:rsidP="001A7F46">
      <w:pPr>
        <w:numPr>
          <w:ilvl w:val="0"/>
          <w:numId w:val="12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подтверждение достоверности, полноты и соответствия требованиям представления отчетности;</w:t>
      </w:r>
    </w:p>
    <w:p w:rsidR="001A7F46" w:rsidRPr="007358B4" w:rsidRDefault="001A7F46" w:rsidP="001A7F46">
      <w:pPr>
        <w:numPr>
          <w:ilvl w:val="0"/>
          <w:numId w:val="12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соблюдение целей, условий и порядка предоставления гранта в форме субсидий.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Сроки и регламент проведения проверки устанавливаются внутренними документами отдела внутреннего муниципального финансового контроля и внутреннего финансового аудита администрации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sz w:val="24"/>
          <w:szCs w:val="24"/>
        </w:rPr>
        <w:t xml:space="preserve">Уполномоченный орган и </w:t>
      </w:r>
      <w:r w:rsidRPr="007358B4">
        <w:rPr>
          <w:rFonts w:eastAsia="Calibri"/>
          <w:sz w:val="24"/>
          <w:szCs w:val="24"/>
          <w:lang w:eastAsia="en-US"/>
        </w:rPr>
        <w:t xml:space="preserve">Отдел внутреннего муниципального финансового контроля и внутреннего финансового аудита администрации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Pr="007358B4">
        <w:rPr>
          <w:sz w:val="24"/>
          <w:szCs w:val="24"/>
        </w:rPr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</w:t>
      </w:r>
      <w:proofErr w:type="gramEnd"/>
      <w:r w:rsidRPr="007358B4">
        <w:rPr>
          <w:sz w:val="24"/>
          <w:szCs w:val="24"/>
        </w:rPr>
        <w:t xml:space="preserve"> «Об утверждении </w:t>
      </w:r>
      <w:proofErr w:type="gramStart"/>
      <w:r w:rsidRPr="007358B4">
        <w:rPr>
          <w:sz w:val="24"/>
          <w:szCs w:val="24"/>
        </w:rPr>
        <w:t>Порядка проведения мониторинга достижения результатов предоставления</w:t>
      </w:r>
      <w:proofErr w:type="gramEnd"/>
      <w:r w:rsidRPr="007358B4">
        <w:rPr>
          <w:sz w:val="24"/>
          <w:szCs w:val="24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Отдел внутреннего муниципального финансового контроля и внутреннего финансового аудита администрации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осуществляет последующий финансовый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целевым использованием грантов в форме субсидии.</w:t>
      </w: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0"/>
          <w:tab w:val="left" w:pos="142"/>
          <w:tab w:val="left" w:pos="1134"/>
        </w:tabs>
        <w:spacing w:after="160"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358B4">
        <w:rPr>
          <w:rFonts w:eastAsia="Calibri"/>
          <w:b/>
          <w:bCs/>
          <w:sz w:val="24"/>
          <w:szCs w:val="24"/>
          <w:lang w:eastAsia="en-US"/>
        </w:rPr>
        <w:t>Раздел V</w:t>
      </w:r>
      <w:r w:rsidRPr="007358B4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7358B4">
        <w:rPr>
          <w:rFonts w:eastAsia="Calibri"/>
          <w:b/>
          <w:bCs/>
          <w:sz w:val="24"/>
          <w:szCs w:val="24"/>
          <w:lang w:eastAsia="en-US"/>
        </w:rPr>
        <w:t>. Порядок возврата грантов в форме субсидии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Гранты в форме субсидии подлежат возврату исполнителем услуг в бюджет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1A7F46" w:rsidRPr="007358B4" w:rsidRDefault="001A7F46" w:rsidP="001A7F46">
      <w:pPr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1A7F46" w:rsidRPr="007358B4" w:rsidRDefault="001A7F46" w:rsidP="001A7F46">
      <w:pPr>
        <w:widowControl w:val="0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/>
          <w:sz w:val="24"/>
          <w:szCs w:val="24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от </w:t>
      </w:r>
      <w:r w:rsidRPr="007358B4">
        <w:rPr>
          <w:sz w:val="24"/>
          <w:szCs w:val="24"/>
        </w:rPr>
        <w:t xml:space="preserve">Комитета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sz w:val="24"/>
          <w:szCs w:val="24"/>
          <w:lang w:eastAsia="en-US"/>
        </w:rPr>
        <w:t xml:space="preserve"> округа о возврате гранта в форме субсидии с указанием причин и оснований для возврата гранта в форме субсидий.</w:t>
      </w:r>
      <w:proofErr w:type="gramEnd"/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  <w:r w:rsidRPr="00D64400">
        <w:rPr>
          <w:rFonts w:eastAsia="Batang"/>
          <w:sz w:val="24"/>
          <w:szCs w:val="24"/>
          <w:lang w:eastAsia="ko-KR"/>
        </w:rPr>
        <w:lastRenderedPageBreak/>
        <w:t>Приложение №1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к порядку предоставления грантов в форме 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>субсидии частным образовательным организациям,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организациям, осуществляющим обучение, 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индивидуальным предпринимателям, 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>государственным образовательным организациям,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муниципальным образовательным организациям,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в </w:t>
      </w:r>
      <w:proofErr w:type="gramStart"/>
      <w:r w:rsidRPr="00D64400">
        <w:rPr>
          <w:sz w:val="24"/>
          <w:szCs w:val="24"/>
        </w:rPr>
        <w:t>отношении</w:t>
      </w:r>
      <w:proofErr w:type="gramEnd"/>
      <w:r w:rsidRPr="00D64400">
        <w:rPr>
          <w:sz w:val="24"/>
          <w:szCs w:val="24"/>
        </w:rPr>
        <w:t xml:space="preserve"> которых органами местного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самоуправления муниципального образования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</w:t>
      </w:r>
      <w:proofErr w:type="spellStart"/>
      <w:r w:rsidRPr="00D64400">
        <w:rPr>
          <w:sz w:val="24"/>
          <w:szCs w:val="24"/>
        </w:rPr>
        <w:t>Сосновоборский</w:t>
      </w:r>
      <w:proofErr w:type="spellEnd"/>
      <w:r w:rsidRPr="00D64400">
        <w:rPr>
          <w:sz w:val="24"/>
          <w:szCs w:val="24"/>
        </w:rPr>
        <w:t xml:space="preserve"> городской округ </w:t>
      </w:r>
      <w:proofErr w:type="gramStart"/>
      <w:r w:rsidRPr="00D64400">
        <w:rPr>
          <w:sz w:val="24"/>
          <w:szCs w:val="24"/>
        </w:rPr>
        <w:t>Ленинградской</w:t>
      </w:r>
      <w:proofErr w:type="gramEnd"/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области не осуществляются функции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и полномочия учредителя, </w:t>
      </w:r>
      <w:proofErr w:type="gramStart"/>
      <w:r w:rsidRPr="00D64400">
        <w:rPr>
          <w:sz w:val="24"/>
          <w:szCs w:val="24"/>
        </w:rPr>
        <w:t>включенными</w:t>
      </w:r>
      <w:proofErr w:type="gramEnd"/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в реестр </w:t>
      </w:r>
      <w:r w:rsidRPr="00EA48F2">
        <w:rPr>
          <w:sz w:val="24"/>
          <w:szCs w:val="24"/>
        </w:rPr>
        <w:t xml:space="preserve">исполнителей </w:t>
      </w:r>
      <w:r w:rsidRPr="00D64400">
        <w:rPr>
          <w:sz w:val="24"/>
          <w:szCs w:val="24"/>
        </w:rPr>
        <w:t>образовательных услуг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в рамках системы </w:t>
      </w:r>
      <w:proofErr w:type="gramStart"/>
      <w:r w:rsidRPr="00D64400">
        <w:rPr>
          <w:sz w:val="24"/>
          <w:szCs w:val="24"/>
        </w:rPr>
        <w:t>персонифицированного</w:t>
      </w:r>
      <w:proofErr w:type="gramEnd"/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финансирования, в связи с оказанием 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>услуг по реализации дополнительных общеобразовательных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64400">
        <w:rPr>
          <w:sz w:val="24"/>
          <w:szCs w:val="24"/>
        </w:rPr>
        <w:t xml:space="preserve"> программ в рамках системы</w:t>
      </w:r>
    </w:p>
    <w:p w:rsidR="001A7F46" w:rsidRPr="00D64400" w:rsidRDefault="001A7F46" w:rsidP="001A7F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D64400">
        <w:rPr>
          <w:sz w:val="24"/>
          <w:szCs w:val="24"/>
        </w:rPr>
        <w:t xml:space="preserve"> персонифицированного финансирования</w:t>
      </w:r>
    </w:p>
    <w:p w:rsidR="001A7F46" w:rsidRPr="00D64400" w:rsidRDefault="001A7F46" w:rsidP="001A7F46">
      <w:pPr>
        <w:widowControl w:val="0"/>
        <w:tabs>
          <w:tab w:val="left" w:pos="142"/>
        </w:tabs>
        <w:spacing w:after="160" w:line="259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A7F46" w:rsidRPr="007358B4" w:rsidRDefault="001A7F46" w:rsidP="001A7F46">
      <w:pPr>
        <w:widowControl w:val="0"/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eastAsia="Batang"/>
          <w:b/>
          <w:bCs/>
          <w:sz w:val="24"/>
          <w:szCs w:val="24"/>
          <w:lang w:eastAsia="ko-KR"/>
        </w:rPr>
      </w:pPr>
      <w:r w:rsidRPr="007358B4">
        <w:rPr>
          <w:rFonts w:eastAsia="Batang"/>
          <w:b/>
          <w:bCs/>
          <w:sz w:val="24"/>
          <w:szCs w:val="24"/>
          <w:lang w:eastAsia="ko-KR"/>
        </w:rPr>
        <w:t>РАМОЧНОЕ СОГЛАШЕНИЕ №______</w:t>
      </w:r>
    </w:p>
    <w:p w:rsidR="001A7F46" w:rsidRPr="007358B4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eastAsia="Batang"/>
          <w:sz w:val="24"/>
          <w:szCs w:val="24"/>
          <w:lang w:eastAsia="ko-KR"/>
        </w:rPr>
      </w:pPr>
      <w:r w:rsidRPr="007358B4">
        <w:rPr>
          <w:rFonts w:eastAsia="Batang"/>
          <w:sz w:val="24"/>
          <w:szCs w:val="24"/>
          <w:lang w:eastAsia="ko-KR"/>
        </w:rPr>
        <w:t xml:space="preserve">о предоставлении гранта в форме субсидии из бюджета  муниципального образования </w:t>
      </w:r>
      <w:proofErr w:type="spellStart"/>
      <w:r w:rsidRPr="007358B4">
        <w:rPr>
          <w:rFonts w:eastAsia="Batang"/>
          <w:sz w:val="24"/>
          <w:szCs w:val="24"/>
          <w:lang w:eastAsia="ko-KR"/>
        </w:rPr>
        <w:t>Сосновоборский</w:t>
      </w:r>
      <w:proofErr w:type="spellEnd"/>
      <w:r w:rsidRPr="007358B4">
        <w:rPr>
          <w:rFonts w:eastAsia="Batang"/>
          <w:sz w:val="24"/>
          <w:szCs w:val="24"/>
          <w:lang w:eastAsia="ko-KR"/>
        </w:rPr>
        <w:t xml:space="preserve"> городской округ Ленинградской области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1A7F46" w:rsidRPr="007358B4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</w:p>
    <w:p w:rsidR="001A7F46" w:rsidRPr="007358B4" w:rsidRDefault="001A7F46" w:rsidP="001A7F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7358B4">
        <w:rPr>
          <w:sz w:val="24"/>
          <w:szCs w:val="24"/>
        </w:rPr>
        <w:t>С</w:t>
      </w:r>
      <w:proofErr w:type="gramEnd"/>
      <w:r w:rsidRPr="007358B4">
        <w:rPr>
          <w:sz w:val="24"/>
          <w:szCs w:val="24"/>
        </w:rPr>
        <w:t>основый</w:t>
      </w:r>
      <w:proofErr w:type="spellEnd"/>
      <w:r w:rsidRPr="007358B4">
        <w:rPr>
          <w:sz w:val="24"/>
          <w:szCs w:val="24"/>
        </w:rPr>
        <w:t xml:space="preserve"> Бор                                                             </w:t>
      </w:r>
      <w:r>
        <w:rPr>
          <w:sz w:val="24"/>
          <w:szCs w:val="24"/>
        </w:rPr>
        <w:t xml:space="preserve">              </w:t>
      </w:r>
      <w:r w:rsidRPr="007358B4">
        <w:rPr>
          <w:sz w:val="24"/>
          <w:szCs w:val="24"/>
        </w:rPr>
        <w:t xml:space="preserve">           "__" _____________ 20__ г.</w:t>
      </w:r>
    </w:p>
    <w:p w:rsidR="001A7F46" w:rsidRPr="007358B4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A7F46" w:rsidRDefault="001A7F46" w:rsidP="001A7F46">
      <w:pPr>
        <w:tabs>
          <w:tab w:val="left" w:pos="142"/>
          <w:tab w:val="left" w:pos="1134"/>
        </w:tabs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Ленинградской области</w:t>
      </w:r>
      <w:r w:rsidRPr="007358B4">
        <w:rPr>
          <w:rFonts w:eastAsia="Calibri"/>
          <w:sz w:val="24"/>
          <w:szCs w:val="24"/>
          <w:lang w:eastAsia="en-US"/>
        </w:rPr>
        <w:t xml:space="preserve">, именуемый в дальнейшем «Уполномоченный орган», в лице ____________________________________, действующего на основании Положения,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(далее – Правила персонифицированного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общеобразовательных программ в рамках системы персонифицированного финансирования,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утвержденными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________ от ____________ </w:t>
      </w:r>
      <w:r w:rsidRPr="007358B4">
        <w:rPr>
          <w:rFonts w:eastAsia="Calibri"/>
          <w:sz w:val="24"/>
          <w:szCs w:val="24"/>
          <w:lang w:eastAsia="en-US"/>
        </w:rPr>
        <w:lastRenderedPageBreak/>
        <w:t>№______ (далее – Порядок предоставления грантов), заключили настоящее Соглашение о нижеследующем.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val="en-US" w:eastAsia="en-US"/>
        </w:rPr>
      </w:pPr>
      <w:r w:rsidRPr="007358B4">
        <w:rPr>
          <w:rFonts w:eastAsia="Calibri"/>
          <w:b/>
          <w:sz w:val="24"/>
          <w:szCs w:val="24"/>
          <w:lang w:eastAsia="en-US"/>
        </w:rPr>
        <w:t>Предмет соглашения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1"/>
          <w:numId w:val="15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Предметом настоящего Соглашения является порядок взаимодействия Сторон по предоставлению в 20__-20__годах гранта в форме субсидии из бюджета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Исполнителю услуг в рамках мероприятия </w:t>
      </w:r>
      <w:r w:rsidRPr="007358B4">
        <w:rPr>
          <w:color w:val="FF0000"/>
          <w:sz w:val="24"/>
          <w:szCs w:val="24"/>
        </w:rPr>
        <w:t>«</w:t>
      </w:r>
      <w:r w:rsidRPr="007358B4">
        <w:rPr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детей»</w:t>
      </w:r>
      <w:r w:rsidRPr="007358B4">
        <w:rPr>
          <w:color w:val="FF0000"/>
          <w:sz w:val="24"/>
          <w:szCs w:val="24"/>
        </w:rPr>
        <w:t xml:space="preserve"> </w:t>
      </w:r>
      <w:r w:rsidRPr="007358B4">
        <w:rPr>
          <w:sz w:val="24"/>
          <w:szCs w:val="24"/>
        </w:rPr>
        <w:t xml:space="preserve">муниципальной программы </w:t>
      </w:r>
      <w:proofErr w:type="spellStart"/>
      <w:r w:rsidRPr="007358B4">
        <w:rPr>
          <w:sz w:val="24"/>
          <w:szCs w:val="24"/>
        </w:rPr>
        <w:t>Сосноборского</w:t>
      </w:r>
      <w:proofErr w:type="spellEnd"/>
      <w:r w:rsidRPr="007358B4">
        <w:rPr>
          <w:sz w:val="24"/>
          <w:szCs w:val="24"/>
        </w:rPr>
        <w:t xml:space="preserve"> городского округа «Современное образование </w:t>
      </w:r>
      <w:proofErr w:type="spellStart"/>
      <w:r w:rsidRPr="007358B4">
        <w:rPr>
          <w:sz w:val="24"/>
          <w:szCs w:val="24"/>
        </w:rPr>
        <w:t>Сосновоборского</w:t>
      </w:r>
      <w:proofErr w:type="spellEnd"/>
      <w:r w:rsidRPr="007358B4">
        <w:rPr>
          <w:sz w:val="24"/>
          <w:szCs w:val="24"/>
        </w:rPr>
        <w:t xml:space="preserve"> городского округа»</w:t>
      </w:r>
      <w:r w:rsidRPr="007358B4">
        <w:rPr>
          <w:rFonts w:eastAsia="Calibri"/>
          <w:sz w:val="24"/>
          <w:szCs w:val="24"/>
          <w:lang w:eastAsia="en-US"/>
        </w:rPr>
        <w:t xml:space="preserve"> (далее - грант).</w:t>
      </w:r>
      <w:proofErr w:type="gramEnd"/>
    </w:p>
    <w:p w:rsidR="001A7F46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 детям, проживающим на территории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и оказанных исполнителем в рамках системы персонифицированного финансирования.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58B4">
        <w:rPr>
          <w:rFonts w:eastAsia="Calibri"/>
          <w:b/>
          <w:sz w:val="24"/>
          <w:szCs w:val="24"/>
          <w:lang w:eastAsia="en-US"/>
        </w:rPr>
        <w:t>Порядок и условия предоставления гранта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7358B4">
        <w:rPr>
          <w:rFonts w:eastAsia="Calibri"/>
          <w:sz w:val="24"/>
          <w:szCs w:val="24"/>
          <w:lang w:val="en-US" w:eastAsia="en-US"/>
        </w:rPr>
        <w:t>III</w:t>
      </w:r>
      <w:r w:rsidRPr="007358B4">
        <w:rPr>
          <w:rFonts w:eastAsia="Calibri"/>
          <w:sz w:val="24"/>
          <w:szCs w:val="24"/>
          <w:lang w:eastAsia="en-US"/>
        </w:rPr>
        <w:t xml:space="preserve"> Порядка предоставления грантов.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7358B4">
        <w:rPr>
          <w:sz w:val="24"/>
          <w:szCs w:val="24"/>
        </w:rPr>
        <w:t xml:space="preserve">распоряжения Правительства Ленинградской области от 29.07.2019 № 488-р «О  персонифицированном финансировании дополнительного образования детей в Ленинградской области» (с изменениями), Правил персонифицированного финансирования, утвержденных постановлением администрации муниципального образования </w:t>
      </w:r>
      <w:proofErr w:type="spellStart"/>
      <w:r w:rsidRPr="007358B4">
        <w:rPr>
          <w:sz w:val="24"/>
          <w:szCs w:val="24"/>
        </w:rPr>
        <w:t>Сосновоборский</w:t>
      </w:r>
      <w:proofErr w:type="spellEnd"/>
      <w:r w:rsidRPr="007358B4">
        <w:rPr>
          <w:sz w:val="24"/>
          <w:szCs w:val="24"/>
        </w:rPr>
        <w:t xml:space="preserve"> городской округ от_________№ _____  </w:t>
      </w:r>
      <w:r w:rsidRPr="007358B4">
        <w:rPr>
          <w:rFonts w:eastAsia="Calibri"/>
          <w:sz w:val="24"/>
          <w:szCs w:val="24"/>
          <w:lang w:eastAsia="en-US"/>
        </w:rPr>
        <w:t>(далее – Правила персонифицированного финансирования) и Порядка предоставления грантов.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 сектором муниципального финансового контроля администрации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 проверок соблюдения Исполнителем услуг цели, порядка и условий предоставления Гранта.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Предоставление гранта осуществляется в пределах бюджетных ассигнований, утвержденных решением совета депутатов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 о бюджете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 на текущий финансовый год и плановый период в пределах утвержденных лимитов бюджетных обязательств в рамках муниципальной программы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 «Современное образование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городского округа»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Перечисление гранта осуществляется на счет Исполнителя услуг, указанный в разделе </w:t>
      </w:r>
      <w:r w:rsidR="0043432B">
        <w:fldChar w:fldCharType="begin"/>
      </w:r>
      <w:r w:rsidR="0043432B">
        <w:instrText xml:space="preserve"> REF _Ref35886223 \r \h  \* MERGEFORMAT </w:instrText>
      </w:r>
      <w:r w:rsidR="0043432B">
        <w:fldChar w:fldCharType="separate"/>
      </w:r>
      <w:r w:rsidRPr="005311E4">
        <w:rPr>
          <w:rFonts w:eastAsia="Calibri"/>
          <w:sz w:val="24"/>
          <w:szCs w:val="24"/>
          <w:lang w:eastAsia="en-US"/>
        </w:rPr>
        <w:t>VII</w:t>
      </w:r>
      <w:r w:rsidR="0043432B">
        <w:fldChar w:fldCharType="end"/>
      </w:r>
      <w:r w:rsidRPr="007358B4">
        <w:rPr>
          <w:rFonts w:eastAsia="Calibri"/>
          <w:sz w:val="24"/>
          <w:szCs w:val="24"/>
          <w:lang w:eastAsia="en-US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1A7F46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58B4">
        <w:rPr>
          <w:rFonts w:eastAsia="Calibri"/>
          <w:b/>
          <w:sz w:val="24"/>
          <w:szCs w:val="24"/>
          <w:lang w:eastAsia="en-US"/>
        </w:rPr>
        <w:lastRenderedPageBreak/>
        <w:t>Права и обязанности сторон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200" w:line="276" w:lineRule="auto"/>
        <w:ind w:left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Исполнитель услуг обязан: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Соблюдать Правила персонифицированного финансирования, в том числе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при</w:t>
      </w:r>
      <w:proofErr w:type="gramEnd"/>
      <w:r w:rsidRPr="007358B4">
        <w:rPr>
          <w:rFonts w:eastAsia="Calibri"/>
          <w:sz w:val="24"/>
          <w:szCs w:val="24"/>
          <w:lang w:eastAsia="en-US"/>
        </w:rPr>
        <w:t>:</w:t>
      </w:r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заключении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установлении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предложении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образовательных программ для обучения детей.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области.</w:t>
      </w:r>
      <w:proofErr w:type="gramEnd"/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Принимать на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Исполнитель услуг имеет право: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области, утвержденной  на соответствующий год;</w:t>
      </w:r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лимита зачисления на обучение для соответствующей направленности;</w:t>
      </w:r>
      <w:bookmarkStart w:id="14" w:name="_Ref450823035"/>
    </w:p>
    <w:p w:rsidR="001A7F46" w:rsidRPr="007358B4" w:rsidRDefault="001A7F46" w:rsidP="001A7F46">
      <w:pPr>
        <w:numPr>
          <w:ilvl w:val="3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Уполномоченный орган обязан: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Уполномоченный орган имеет право: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1A7F46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15" w:name="_Ref9763529"/>
      <w:r w:rsidRPr="007358B4">
        <w:rPr>
          <w:rFonts w:eastAsia="Calibri"/>
          <w:b/>
          <w:sz w:val="24"/>
          <w:szCs w:val="24"/>
          <w:lang w:eastAsia="en-US"/>
        </w:rPr>
        <w:t xml:space="preserve">Порядок </w:t>
      </w:r>
      <w:bookmarkEnd w:id="15"/>
      <w:r w:rsidRPr="007358B4">
        <w:rPr>
          <w:rFonts w:eastAsia="Calibri"/>
          <w:b/>
          <w:sz w:val="24"/>
          <w:szCs w:val="24"/>
          <w:lang w:eastAsia="en-US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4.1. 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 и реестра договоров на авансирование, оформляемого в соответствии с Приложением № 1 к настоящему Соглашению. 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7358B4">
        <w:rPr>
          <w:rFonts w:eastAsia="Calibri"/>
          <w:sz w:val="24"/>
          <w:szCs w:val="24"/>
          <w:lang w:eastAsia="en-US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финансирования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 2 к настоящему Договору.</w:t>
      </w:r>
      <w:proofErr w:type="gramEnd"/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58B4">
        <w:rPr>
          <w:rFonts w:eastAsia="Calibri"/>
          <w:sz w:val="24"/>
          <w:szCs w:val="24"/>
          <w:lang w:eastAsia="en-US"/>
        </w:rPr>
        <w:lastRenderedPageBreak/>
        <w:t>Уполномоченный орган в течение 5-ти рабочих дней после получения заявки на авансирование или заявки на оплату (если заявка на авансирование не была предоставлена или была предоставлена несвоевременно) и приложений к ним, направленных согласно пунктам 4.1. - 4.2. настоящего Соглашения, осуществляет их проверку и, в случае отсутствия возражений, формирует и направляет Исполнителю услуг по электронной почте Проект соглашения о предоставлении Исполнителю услуг</w:t>
      </w:r>
      <w:proofErr w:type="gramEnd"/>
      <w:r w:rsidRPr="007358B4">
        <w:rPr>
          <w:rFonts w:eastAsia="Calibri"/>
          <w:sz w:val="24"/>
          <w:szCs w:val="24"/>
          <w:lang w:eastAsia="en-US"/>
        </w:rPr>
        <w:t xml:space="preserve"> гранта в форме субсидии в форме безотзывной оферты. 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4.3. </w:t>
      </w:r>
      <w:bookmarkStart w:id="16" w:name="dst102095"/>
      <w:bookmarkEnd w:id="16"/>
      <w:r w:rsidRPr="007358B4">
        <w:rPr>
          <w:rFonts w:eastAsia="Calibri"/>
          <w:sz w:val="24"/>
          <w:szCs w:val="24"/>
          <w:lang w:eastAsia="en-US"/>
        </w:rPr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 в форме безотзывной оферты. 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58B4">
        <w:rPr>
          <w:rFonts w:eastAsia="Calibri"/>
          <w:b/>
          <w:sz w:val="24"/>
          <w:szCs w:val="24"/>
          <w:lang w:eastAsia="en-US"/>
        </w:rPr>
        <w:t>Ответственность сторон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A7F46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58B4">
        <w:rPr>
          <w:rFonts w:eastAsia="Calibri"/>
          <w:b/>
          <w:sz w:val="24"/>
          <w:szCs w:val="24"/>
          <w:lang w:eastAsia="en-US"/>
        </w:rPr>
        <w:t>Заключительные положения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области;</w:t>
      </w:r>
    </w:p>
    <w:p w:rsidR="001A7F46" w:rsidRPr="007358B4" w:rsidRDefault="001A7F46" w:rsidP="001A7F46">
      <w:pPr>
        <w:numPr>
          <w:ilvl w:val="2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завершение реализации программы персонифицированного финансирования дополнительного образования в муниципальном образовании </w:t>
      </w:r>
      <w:proofErr w:type="spellStart"/>
      <w:r w:rsidRPr="007358B4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7358B4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lastRenderedPageBreak/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 xml:space="preserve"> Все приложения к настоящему Соглашению являются его неотъемлемой частью.</w:t>
      </w:r>
    </w:p>
    <w:p w:rsidR="001A7F46" w:rsidRPr="007358B4" w:rsidRDefault="001A7F46" w:rsidP="001A7F46">
      <w:pPr>
        <w:numPr>
          <w:ilvl w:val="1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58B4">
        <w:rPr>
          <w:rFonts w:eastAsia="Calibri"/>
          <w:sz w:val="24"/>
          <w:szCs w:val="24"/>
          <w:lang w:eastAsia="en-US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1A7F46" w:rsidRPr="007358B4" w:rsidRDefault="001A7F46" w:rsidP="001A7F46">
      <w:pPr>
        <w:tabs>
          <w:tab w:val="left" w:pos="142"/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7F46" w:rsidRPr="007358B4" w:rsidRDefault="001A7F46" w:rsidP="001A7F46">
      <w:pPr>
        <w:numPr>
          <w:ilvl w:val="0"/>
          <w:numId w:val="15"/>
        </w:numPr>
        <w:tabs>
          <w:tab w:val="left" w:pos="142"/>
          <w:tab w:val="left" w:pos="1134"/>
        </w:tabs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17" w:name="_Ref35886223"/>
      <w:r w:rsidRPr="007358B4">
        <w:rPr>
          <w:rFonts w:eastAsia="Calibri"/>
          <w:b/>
          <w:sz w:val="24"/>
          <w:szCs w:val="24"/>
          <w:lang w:eastAsia="en-US"/>
        </w:rPr>
        <w:t>Адреса и реквизиты сторон</w:t>
      </w:r>
      <w:bookmarkEnd w:id="17"/>
    </w:p>
    <w:p w:rsidR="001A7F46" w:rsidRPr="007358B4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  <w:r w:rsidRPr="00D64400">
        <w:rPr>
          <w:rFonts w:eastAsia="Batang"/>
          <w:sz w:val="24"/>
          <w:szCs w:val="24"/>
          <w:lang w:eastAsia="ko-KR"/>
        </w:rPr>
        <w:lastRenderedPageBreak/>
        <w:t>Приложение №1</w:t>
      </w: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eastAsia="Batang"/>
          <w:sz w:val="24"/>
          <w:szCs w:val="24"/>
          <w:lang w:eastAsia="ko-KR"/>
        </w:rPr>
      </w:pPr>
      <w:r w:rsidRPr="00D64400">
        <w:rPr>
          <w:rFonts w:eastAsia="Batang"/>
          <w:sz w:val="24"/>
          <w:szCs w:val="24"/>
          <w:lang w:eastAsia="ko-KR"/>
        </w:rPr>
        <w:t xml:space="preserve">к </w:t>
      </w:r>
      <w:r w:rsidRPr="00856BB0">
        <w:rPr>
          <w:rFonts w:eastAsia="Batang"/>
          <w:sz w:val="24"/>
          <w:szCs w:val="24"/>
          <w:lang w:eastAsia="ko-KR"/>
        </w:rPr>
        <w:t>Рамочному соглашению</w:t>
      </w:r>
      <w:r w:rsidRPr="00D64400">
        <w:rPr>
          <w:rFonts w:eastAsia="Batang"/>
          <w:sz w:val="24"/>
          <w:szCs w:val="24"/>
          <w:lang w:eastAsia="ko-KR"/>
        </w:rPr>
        <w:t xml:space="preserve"> </w:t>
      </w: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eastAsia="Batang"/>
          <w:sz w:val="24"/>
          <w:szCs w:val="24"/>
          <w:lang w:eastAsia="ko-KR"/>
        </w:rPr>
      </w:pPr>
      <w:r w:rsidRPr="00D64400">
        <w:rPr>
          <w:rFonts w:eastAsia="Batang"/>
          <w:sz w:val="24"/>
          <w:szCs w:val="24"/>
          <w:lang w:eastAsia="ko-KR"/>
        </w:rPr>
        <w:t>от "__" _________ 20__ г. N ___</w:t>
      </w: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1A7F46" w:rsidRDefault="001A7F46" w:rsidP="001A7F46">
      <w:pPr>
        <w:tabs>
          <w:tab w:val="left" w:pos="142"/>
        </w:tabs>
        <w:spacing w:after="160" w:line="259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D64400">
        <w:rPr>
          <w:rFonts w:eastAsia="Calibri"/>
          <w:sz w:val="24"/>
          <w:szCs w:val="24"/>
          <w:lang w:eastAsia="en-US"/>
        </w:rPr>
        <w:t>РЕЕСТР ДОГОВОРОВ НА АВАНСИРОВАНИЕ</w:t>
      </w:r>
    </w:p>
    <w:p w:rsidR="001A7F46" w:rsidRPr="00856BB0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Месяц, за который сформирован реестр: _________________________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1A7F46" w:rsidRPr="00856BB0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Наименование исполнителя образовательных услуг: 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1A7F46" w:rsidRPr="00856BB0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ОГРН исполнителя образовательных услуг:  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1A7F46" w:rsidRPr="00856BB0" w:rsidRDefault="001A7F46" w:rsidP="001A7F46">
      <w:pPr>
        <w:tabs>
          <w:tab w:val="left" w:pos="142"/>
        </w:tabs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Всего подлежит к оплате: _____________________</w:t>
      </w:r>
      <w:r>
        <w:rPr>
          <w:rFonts w:eastAsia="Calibri"/>
          <w:sz w:val="24"/>
          <w:szCs w:val="24"/>
          <w:lang w:eastAsia="en-US"/>
        </w:rPr>
        <w:t>_____</w:t>
      </w:r>
      <w:r w:rsidRPr="00856BB0">
        <w:rPr>
          <w:rFonts w:eastAsia="Calibri"/>
          <w:sz w:val="24"/>
          <w:szCs w:val="24"/>
          <w:lang w:eastAsia="en-US"/>
        </w:rPr>
        <w:t xml:space="preserve"> рублей, что составляет  80% от совокупных обязательств Уполномоченного органа.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81"/>
        <w:gridCol w:w="1082"/>
        <w:gridCol w:w="1287"/>
        <w:gridCol w:w="1089"/>
        <w:gridCol w:w="1151"/>
        <w:gridCol w:w="1557"/>
        <w:gridCol w:w="1779"/>
      </w:tblGrid>
      <w:tr w:rsidR="001A7F46" w:rsidRPr="00D64400" w:rsidTr="00E321CC">
        <w:trPr>
          <w:trHeight w:val="126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п</w:t>
            </w:r>
            <w:r w:rsidRPr="00140A46">
              <w:rPr>
                <w:rFonts w:eastAsia="Calibri"/>
                <w:szCs w:val="22"/>
                <w:lang w:eastAsia="en-US"/>
              </w:rPr>
              <w:t>.п</w:t>
            </w:r>
            <w:proofErr w:type="spellEnd"/>
            <w:r w:rsidRPr="00140A46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№ договора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Дата договора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Номер сертификата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Цена услуги, руб.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Объем услуги по договору, часов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Объем услуги, часов</w:t>
            </w:r>
          </w:p>
        </w:tc>
        <w:tc>
          <w:tcPr>
            <w:tcW w:w="1808" w:type="dxa"/>
          </w:tcPr>
          <w:p w:rsidR="001A7F46" w:rsidRPr="00140A46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140A46">
              <w:rPr>
                <w:rFonts w:eastAsia="Calibri"/>
                <w:szCs w:val="22"/>
                <w:lang w:eastAsia="en-US"/>
              </w:rPr>
              <w:t>Обязательство по оплате, рублей</w:t>
            </w:r>
          </w:p>
        </w:tc>
      </w:tr>
      <w:tr w:rsidR="001A7F46" w:rsidRPr="00D64400" w:rsidTr="00E321CC">
        <w:trPr>
          <w:trHeight w:val="26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6317" w:type="dxa"/>
            <w:gridSpan w:val="6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A7F46" w:rsidRPr="00D64400" w:rsidTr="00E321CC">
        <w:tc>
          <w:tcPr>
            <w:tcW w:w="9587" w:type="dxa"/>
            <w:gridSpan w:val="2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right="652" w:firstLine="567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right="652" w:firstLine="567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A7F46" w:rsidRPr="00D64400" w:rsidTr="00E321CC">
        <w:tc>
          <w:tcPr>
            <w:tcW w:w="4825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1A7F46" w:rsidRPr="00D64400" w:rsidTr="00E321CC">
        <w:trPr>
          <w:trHeight w:val="23"/>
        </w:trPr>
        <w:tc>
          <w:tcPr>
            <w:tcW w:w="4825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_________________/_________________/</w:t>
            </w:r>
          </w:p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_________________/_________________/</w:t>
            </w:r>
          </w:p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1A7F46" w:rsidRPr="00D64400" w:rsidRDefault="001A7F46" w:rsidP="001A7F46">
      <w:pPr>
        <w:tabs>
          <w:tab w:val="left" w:pos="142"/>
        </w:tabs>
        <w:spacing w:after="160" w:line="259" w:lineRule="auto"/>
        <w:ind w:firstLine="567"/>
        <w:rPr>
          <w:rFonts w:ascii="Calibri" w:eastAsia="Calibri" w:hAnsi="Calibri"/>
          <w:sz w:val="22"/>
          <w:szCs w:val="22"/>
          <w:lang w:eastAsia="en-US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outlineLvl w:val="1"/>
        <w:rPr>
          <w:rFonts w:eastAsia="Batang"/>
          <w:sz w:val="24"/>
          <w:szCs w:val="24"/>
          <w:lang w:eastAsia="ko-KR"/>
        </w:rPr>
      </w:pPr>
      <w:r w:rsidRPr="00D64400">
        <w:rPr>
          <w:rFonts w:eastAsia="Batang"/>
          <w:sz w:val="24"/>
          <w:szCs w:val="24"/>
          <w:lang w:eastAsia="ko-KR"/>
        </w:rPr>
        <w:lastRenderedPageBreak/>
        <w:t>Приложение №2</w:t>
      </w:r>
    </w:p>
    <w:p w:rsidR="001A7F46" w:rsidRPr="00856BB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eastAsia="Batang"/>
          <w:sz w:val="24"/>
          <w:szCs w:val="24"/>
          <w:lang w:eastAsia="ko-KR"/>
        </w:rPr>
      </w:pPr>
      <w:r w:rsidRPr="00856BB0">
        <w:rPr>
          <w:rFonts w:eastAsia="Batang"/>
          <w:sz w:val="24"/>
          <w:szCs w:val="24"/>
          <w:lang w:eastAsia="ko-KR"/>
        </w:rPr>
        <w:t xml:space="preserve">к Рамочному соглашению </w:t>
      </w: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eastAsia="Batang"/>
          <w:sz w:val="24"/>
          <w:szCs w:val="24"/>
          <w:lang w:eastAsia="ko-KR"/>
        </w:rPr>
      </w:pPr>
      <w:r w:rsidRPr="00856BB0">
        <w:rPr>
          <w:rFonts w:eastAsia="Batang"/>
          <w:sz w:val="24"/>
          <w:szCs w:val="24"/>
          <w:lang w:eastAsia="ko-KR"/>
        </w:rPr>
        <w:t>от "__" _________</w:t>
      </w:r>
      <w:r w:rsidRPr="00D64400">
        <w:rPr>
          <w:rFonts w:eastAsia="Batang"/>
          <w:sz w:val="24"/>
          <w:szCs w:val="24"/>
          <w:lang w:eastAsia="ko-KR"/>
        </w:rPr>
        <w:t xml:space="preserve"> 20__ г. N ___</w:t>
      </w:r>
    </w:p>
    <w:p w:rsidR="001A7F46" w:rsidRPr="00D64400" w:rsidRDefault="001A7F46" w:rsidP="001A7F46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</w:p>
    <w:p w:rsidR="001A7F46" w:rsidRPr="00D64400" w:rsidRDefault="001A7F46" w:rsidP="001A7F46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A7F46" w:rsidRDefault="001A7F46" w:rsidP="001A7F46">
      <w:pPr>
        <w:tabs>
          <w:tab w:val="left" w:pos="142"/>
        </w:tabs>
        <w:spacing w:after="160" w:line="259" w:lineRule="auto"/>
        <w:ind w:firstLine="567"/>
        <w:jc w:val="center"/>
        <w:rPr>
          <w:rFonts w:eastAsia="Calibri"/>
          <w:strike/>
          <w:sz w:val="24"/>
          <w:szCs w:val="24"/>
          <w:lang w:eastAsia="en-US"/>
        </w:rPr>
      </w:pPr>
      <w:r w:rsidRPr="00D64400">
        <w:rPr>
          <w:rFonts w:eastAsia="Calibri"/>
          <w:sz w:val="24"/>
          <w:szCs w:val="24"/>
          <w:lang w:eastAsia="en-US"/>
        </w:rPr>
        <w:t xml:space="preserve">РЕЕСТР ДОГОВОРОВ </w:t>
      </w:r>
    </w:p>
    <w:p w:rsidR="001A7F46" w:rsidRPr="00856BB0" w:rsidRDefault="001A7F46" w:rsidP="001A7F46">
      <w:pPr>
        <w:tabs>
          <w:tab w:val="left" w:pos="142"/>
        </w:tabs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Месяц, за который сформирован реестр: _________________________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1A7F46" w:rsidRPr="00856BB0" w:rsidRDefault="001A7F46" w:rsidP="001A7F46">
      <w:pPr>
        <w:tabs>
          <w:tab w:val="left" w:pos="142"/>
        </w:tabs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Наименование исполнителя образовательных услуг: _____________________________</w:t>
      </w:r>
      <w:r>
        <w:rPr>
          <w:rFonts w:eastAsia="Calibri"/>
          <w:sz w:val="24"/>
          <w:szCs w:val="24"/>
          <w:lang w:eastAsia="en-US"/>
        </w:rPr>
        <w:t>_</w:t>
      </w:r>
    </w:p>
    <w:p w:rsidR="001A7F46" w:rsidRPr="00856BB0" w:rsidRDefault="001A7F46" w:rsidP="001A7F46">
      <w:pPr>
        <w:tabs>
          <w:tab w:val="left" w:pos="142"/>
        </w:tabs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ОГРН исполнителя образовательных услуг:  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1A7F46" w:rsidRPr="00856BB0" w:rsidRDefault="001A7F46" w:rsidP="001A7F46">
      <w:pPr>
        <w:tabs>
          <w:tab w:val="left" w:pos="142"/>
        </w:tabs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56BB0">
        <w:rPr>
          <w:rFonts w:eastAsia="Calibri"/>
          <w:sz w:val="24"/>
          <w:szCs w:val="24"/>
          <w:lang w:eastAsia="en-US"/>
        </w:rPr>
        <w:t>Проавансировано</w:t>
      </w:r>
      <w:proofErr w:type="spellEnd"/>
      <w:r w:rsidRPr="00856BB0">
        <w:rPr>
          <w:rFonts w:eastAsia="Calibri"/>
          <w:sz w:val="24"/>
          <w:szCs w:val="24"/>
          <w:lang w:eastAsia="en-US"/>
        </w:rPr>
        <w:t xml:space="preserve"> услуг за месяц на сумму: </w:t>
      </w:r>
      <w:r>
        <w:rPr>
          <w:rFonts w:eastAsia="Calibri"/>
          <w:sz w:val="24"/>
          <w:szCs w:val="24"/>
          <w:lang w:eastAsia="en-US"/>
        </w:rPr>
        <w:t>________________________________</w:t>
      </w:r>
      <w:r w:rsidRPr="00856BB0">
        <w:rPr>
          <w:rFonts w:eastAsia="Calibri"/>
          <w:sz w:val="24"/>
          <w:szCs w:val="24"/>
          <w:lang w:eastAsia="en-US"/>
        </w:rPr>
        <w:t>рублей</w:t>
      </w:r>
    </w:p>
    <w:p w:rsidR="001A7F46" w:rsidRPr="00856BB0" w:rsidRDefault="001A7F46" w:rsidP="001A7F46">
      <w:pPr>
        <w:tabs>
          <w:tab w:val="left" w:pos="142"/>
        </w:tabs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6BB0">
        <w:rPr>
          <w:rFonts w:eastAsia="Calibri"/>
          <w:sz w:val="24"/>
          <w:szCs w:val="24"/>
          <w:lang w:eastAsia="en-US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113"/>
        <w:gridCol w:w="1193"/>
        <w:gridCol w:w="1468"/>
        <w:gridCol w:w="1026"/>
        <w:gridCol w:w="1128"/>
        <w:gridCol w:w="1585"/>
      </w:tblGrid>
      <w:tr w:rsidR="001A7F46" w:rsidRPr="00D64400" w:rsidTr="00E321CC">
        <w:trPr>
          <w:trHeight w:val="144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64400">
              <w:rPr>
                <w:rFonts w:eastAsia="Calibri"/>
                <w:sz w:val="22"/>
                <w:szCs w:val="22"/>
                <w:lang w:eastAsia="en-US"/>
              </w:rPr>
              <w:t>п.п</w:t>
            </w:r>
            <w:proofErr w:type="spellEnd"/>
            <w:r w:rsidRPr="00D6440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№ договора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Дата договора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Номер сертификата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Цена услуги, руб.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585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Обязательство по оплате, рублей</w:t>
            </w:r>
          </w:p>
        </w:tc>
      </w:tr>
      <w:tr w:rsidR="001A7F46" w:rsidRPr="00D64400" w:rsidTr="00E321CC">
        <w:trPr>
          <w:trHeight w:val="33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F46" w:rsidRPr="00D64400" w:rsidTr="00E321CC">
        <w:trPr>
          <w:jc w:val="center"/>
        </w:trPr>
        <w:tc>
          <w:tcPr>
            <w:tcW w:w="6512" w:type="dxa"/>
            <w:gridSpan w:val="6"/>
            <w:shd w:val="clear" w:color="auto" w:fill="auto"/>
            <w:vAlign w:val="center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4400">
              <w:rPr>
                <w:rFonts w:eastAsia="Calibri"/>
                <w:sz w:val="22"/>
                <w:szCs w:val="22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585" w:type="dxa"/>
          </w:tcPr>
          <w:p w:rsidR="001A7F46" w:rsidRPr="00D64400" w:rsidRDefault="001A7F46" w:rsidP="00E321CC">
            <w:pPr>
              <w:tabs>
                <w:tab w:val="left" w:pos="142"/>
              </w:tabs>
              <w:spacing w:after="160" w:line="259" w:lineRule="auto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A7F46" w:rsidRPr="00D64400" w:rsidRDefault="001A7F46" w:rsidP="001A7F46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4400">
        <w:rPr>
          <w:sz w:val="24"/>
          <w:szCs w:val="24"/>
        </w:rPr>
        <w:t xml:space="preserve">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A7F46" w:rsidRPr="00D64400" w:rsidTr="00E321CC">
        <w:tc>
          <w:tcPr>
            <w:tcW w:w="9587" w:type="dxa"/>
            <w:gridSpan w:val="2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right="652" w:firstLine="567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</w:tc>
      </w:tr>
      <w:tr w:rsidR="001A7F46" w:rsidRPr="00D64400" w:rsidTr="00E321CC">
        <w:tc>
          <w:tcPr>
            <w:tcW w:w="4825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1A7F46" w:rsidRPr="00D64400" w:rsidTr="00E321CC">
        <w:trPr>
          <w:trHeight w:val="23"/>
        </w:trPr>
        <w:tc>
          <w:tcPr>
            <w:tcW w:w="4825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_____________/________________</w:t>
            </w:r>
          </w:p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64400">
              <w:rPr>
                <w:rFonts w:eastAsia="Batang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1A7F46" w:rsidRPr="00D64400" w:rsidRDefault="001A7F46" w:rsidP="00E321C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__________/________________</w:t>
            </w:r>
          </w:p>
        </w:tc>
      </w:tr>
    </w:tbl>
    <w:p w:rsidR="001A7F46" w:rsidRPr="00D64400" w:rsidRDefault="001A7F46" w:rsidP="001A7F46">
      <w:pPr>
        <w:spacing w:after="160" w:line="259" w:lineRule="auto"/>
        <w:rPr>
          <w:rFonts w:ascii="Calibri" w:eastAsia="Calibri" w:hAnsi="Calibri"/>
          <w:sz w:val="22"/>
          <w:szCs w:val="28"/>
          <w:lang w:eastAsia="en-US"/>
        </w:rPr>
      </w:pPr>
    </w:p>
    <w:p w:rsidR="001A7F46" w:rsidRPr="00D64400" w:rsidRDefault="001A7F46" w:rsidP="001A7F46">
      <w:pPr>
        <w:pStyle w:val="3"/>
        <w:tabs>
          <w:tab w:val="left" w:pos="7716"/>
        </w:tabs>
        <w:jc w:val="left"/>
        <w:rPr>
          <w:rFonts w:ascii="Calibri" w:eastAsia="Calibri" w:hAnsi="Calibri"/>
          <w:sz w:val="22"/>
          <w:szCs w:val="28"/>
          <w:lang w:eastAsia="en-US"/>
        </w:rPr>
      </w:pPr>
    </w:p>
    <w:p w:rsidR="001A7F46" w:rsidRDefault="001A7F46" w:rsidP="001A7F46">
      <w:pPr>
        <w:jc w:val="both"/>
        <w:rPr>
          <w:sz w:val="24"/>
        </w:rPr>
      </w:pPr>
    </w:p>
    <w:p w:rsidR="001A7F46" w:rsidRDefault="001A7F46" w:rsidP="001A7F4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C" w:rsidRDefault="0072160C" w:rsidP="001A7F46">
      <w:r>
        <w:separator/>
      </w:r>
    </w:p>
  </w:endnote>
  <w:endnote w:type="continuationSeparator" w:id="0">
    <w:p w:rsidR="0072160C" w:rsidRDefault="0072160C" w:rsidP="001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4" w:rsidRDefault="00721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4" w:rsidRDefault="007216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4" w:rsidRDefault="00721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C" w:rsidRDefault="0072160C" w:rsidP="001A7F46">
      <w:r>
        <w:separator/>
      </w:r>
    </w:p>
  </w:footnote>
  <w:footnote w:type="continuationSeparator" w:id="0">
    <w:p w:rsidR="0072160C" w:rsidRDefault="0072160C" w:rsidP="001A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4" w:rsidRDefault="00721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16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4" w:rsidRDefault="00721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3413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136E11E2"/>
    <w:multiLevelType w:val="hybridMultilevel"/>
    <w:tmpl w:val="0F1AC6E4"/>
    <w:lvl w:ilvl="0" w:tplc="8E68B2F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4655" w:hanging="360"/>
      </w:pPr>
    </w:lvl>
    <w:lvl w:ilvl="2" w:tplc="0419001B" w:tentative="1">
      <w:start w:val="1"/>
      <w:numFmt w:val="lowerRoman"/>
      <w:lvlText w:val="%3."/>
      <w:lvlJc w:val="right"/>
      <w:pPr>
        <w:ind w:left="-3935" w:hanging="180"/>
      </w:pPr>
    </w:lvl>
    <w:lvl w:ilvl="3" w:tplc="0419000F">
      <w:start w:val="1"/>
      <w:numFmt w:val="decimal"/>
      <w:lvlText w:val="%4."/>
      <w:lvlJc w:val="left"/>
      <w:pPr>
        <w:ind w:left="-3215" w:hanging="360"/>
      </w:pPr>
    </w:lvl>
    <w:lvl w:ilvl="4" w:tplc="04190019" w:tentative="1">
      <w:start w:val="1"/>
      <w:numFmt w:val="lowerLetter"/>
      <w:lvlText w:val="%5."/>
      <w:lvlJc w:val="left"/>
      <w:pPr>
        <w:ind w:left="-2495" w:hanging="360"/>
      </w:pPr>
    </w:lvl>
    <w:lvl w:ilvl="5" w:tplc="0419001B" w:tentative="1">
      <w:start w:val="1"/>
      <w:numFmt w:val="lowerRoman"/>
      <w:lvlText w:val="%6."/>
      <w:lvlJc w:val="right"/>
      <w:pPr>
        <w:ind w:left="-1775" w:hanging="180"/>
      </w:pPr>
    </w:lvl>
    <w:lvl w:ilvl="6" w:tplc="0419000F" w:tentative="1">
      <w:start w:val="1"/>
      <w:numFmt w:val="decimal"/>
      <w:lvlText w:val="%7."/>
      <w:lvlJc w:val="left"/>
      <w:pPr>
        <w:ind w:left="-1055" w:hanging="360"/>
      </w:pPr>
    </w:lvl>
    <w:lvl w:ilvl="7" w:tplc="04190019" w:tentative="1">
      <w:start w:val="1"/>
      <w:numFmt w:val="lowerLetter"/>
      <w:lvlText w:val="%8."/>
      <w:lvlJc w:val="left"/>
      <w:pPr>
        <w:ind w:left="-335" w:hanging="360"/>
      </w:pPr>
    </w:lvl>
    <w:lvl w:ilvl="8" w:tplc="0419001B" w:tentative="1">
      <w:start w:val="1"/>
      <w:numFmt w:val="lowerRoman"/>
      <w:lvlText w:val="%9."/>
      <w:lvlJc w:val="right"/>
      <w:pPr>
        <w:ind w:left="385" w:hanging="180"/>
      </w:pPr>
    </w:lvl>
  </w:abstractNum>
  <w:abstractNum w:abstractNumId="3">
    <w:nsid w:val="19446D8E"/>
    <w:multiLevelType w:val="hybridMultilevel"/>
    <w:tmpl w:val="5DA8842C"/>
    <w:lvl w:ilvl="0" w:tplc="762C18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23430"/>
    <w:multiLevelType w:val="hybridMultilevel"/>
    <w:tmpl w:val="33826A50"/>
    <w:lvl w:ilvl="0" w:tplc="E6C00C98">
      <w:start w:val="1"/>
      <w:numFmt w:val="decimal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46403D2F"/>
    <w:multiLevelType w:val="multilevel"/>
    <w:tmpl w:val="A210D6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3F0711"/>
    <w:multiLevelType w:val="hybridMultilevel"/>
    <w:tmpl w:val="1A7C65A4"/>
    <w:lvl w:ilvl="0" w:tplc="C1CA1952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70E43"/>
    <w:multiLevelType w:val="hybridMultilevel"/>
    <w:tmpl w:val="A47CA164"/>
    <w:lvl w:ilvl="0" w:tplc="0BEE27E2">
      <w:start w:val="1"/>
      <w:numFmt w:val="decimal"/>
      <w:lvlText w:val="%1."/>
      <w:lvlJc w:val="left"/>
      <w:pPr>
        <w:ind w:left="1110" w:hanging="400"/>
      </w:pPr>
      <w:rPr>
        <w:rFonts w:hint="default"/>
        <w:b w:val="0"/>
        <w:strike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753e41-23ff-4ea4-9aae-28af5d2d3364"/>
  </w:docVars>
  <w:rsids>
    <w:rsidRoot w:val="001A7F46"/>
    <w:rsid w:val="000230E3"/>
    <w:rsid w:val="00032969"/>
    <w:rsid w:val="00046AA9"/>
    <w:rsid w:val="00057AB4"/>
    <w:rsid w:val="00061FBC"/>
    <w:rsid w:val="000946DF"/>
    <w:rsid w:val="000A4060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7F46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3432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160C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660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F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F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1A7F46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A7F46"/>
  </w:style>
  <w:style w:type="paragraph" w:styleId="a9">
    <w:name w:val="Balloon Text"/>
    <w:basedOn w:val="a"/>
    <w:link w:val="aa"/>
    <w:uiPriority w:val="99"/>
    <w:semiHidden/>
    <w:unhideWhenUsed/>
    <w:rsid w:val="00BA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F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F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1A7F46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A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A7F46"/>
  </w:style>
  <w:style w:type="paragraph" w:styleId="a9">
    <w:name w:val="Balloon Text"/>
    <w:basedOn w:val="a"/>
    <w:link w:val="aa"/>
    <w:uiPriority w:val="99"/>
    <w:semiHidden/>
    <w:unhideWhenUsed/>
    <w:rsid w:val="00BA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or.ru/Files/file/postanovlenie_3253_ot_23_12_2015_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8966</Words>
  <Characters>51108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2022-05-17T08:07:00Z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18753e41-23ff-4ea4-9aae-28af5d2d3364</vt:lpwstr>
  </property>
</Properties>
</file>