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4" w:rsidRDefault="00D27544" w:rsidP="00D275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544" w:rsidRDefault="00D27544" w:rsidP="00D2754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27544" w:rsidRDefault="00D27544" w:rsidP="00D2754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27544" w:rsidRDefault="000C7C1B" w:rsidP="00D2754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27544" w:rsidRDefault="00D27544" w:rsidP="00D27544">
      <w:pPr>
        <w:pStyle w:val="3"/>
        <w:jc w:val="left"/>
      </w:pPr>
      <w:r>
        <w:t xml:space="preserve">                             постановление</w:t>
      </w:r>
    </w:p>
    <w:p w:rsidR="00D27544" w:rsidRDefault="00D27544" w:rsidP="00D27544">
      <w:pPr>
        <w:jc w:val="center"/>
        <w:rPr>
          <w:sz w:val="24"/>
        </w:rPr>
      </w:pPr>
    </w:p>
    <w:p w:rsidR="00D27544" w:rsidRDefault="00D27544" w:rsidP="00D27544">
      <w:pPr>
        <w:rPr>
          <w:sz w:val="24"/>
        </w:rPr>
      </w:pPr>
      <w:r>
        <w:rPr>
          <w:sz w:val="24"/>
        </w:rPr>
        <w:t xml:space="preserve">                                                     от 31/01/2023 № 247</w:t>
      </w:r>
    </w:p>
    <w:p w:rsidR="00D27544" w:rsidRPr="00B07001" w:rsidRDefault="00D27544" w:rsidP="00D27544">
      <w:pPr>
        <w:rPr>
          <w:sz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07001">
        <w:rPr>
          <w:sz w:val="24"/>
          <w:szCs w:val="24"/>
        </w:rPr>
        <w:t xml:space="preserve">О внесении изменений в муниципальную программу </w:t>
      </w: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07001">
        <w:rPr>
          <w:sz w:val="24"/>
          <w:szCs w:val="24"/>
        </w:rPr>
        <w:t>«</w:t>
      </w:r>
      <w:proofErr w:type="gramStart"/>
      <w:r w:rsidRPr="00B07001">
        <w:rPr>
          <w:sz w:val="24"/>
          <w:szCs w:val="24"/>
        </w:rPr>
        <w:t>Медико-социальная</w:t>
      </w:r>
      <w:proofErr w:type="gramEnd"/>
      <w:r w:rsidRPr="00B07001">
        <w:rPr>
          <w:sz w:val="24"/>
          <w:szCs w:val="24"/>
        </w:rPr>
        <w:t xml:space="preserve"> поддержка отдельных категорий граждан </w:t>
      </w: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07001">
        <w:rPr>
          <w:sz w:val="24"/>
          <w:szCs w:val="24"/>
        </w:rPr>
        <w:t>в</w:t>
      </w:r>
      <w:proofErr w:type="gramEnd"/>
      <w:r w:rsidRPr="00B07001">
        <w:rPr>
          <w:sz w:val="24"/>
          <w:szCs w:val="24"/>
        </w:rPr>
        <w:t xml:space="preserve"> </w:t>
      </w:r>
      <w:proofErr w:type="gramStart"/>
      <w:r w:rsidRPr="00B07001">
        <w:rPr>
          <w:sz w:val="24"/>
          <w:szCs w:val="24"/>
        </w:rPr>
        <w:t>Сосновоборском</w:t>
      </w:r>
      <w:proofErr w:type="gramEnd"/>
      <w:r w:rsidRPr="00B07001">
        <w:rPr>
          <w:sz w:val="24"/>
          <w:szCs w:val="24"/>
        </w:rPr>
        <w:t xml:space="preserve"> городском округе на 2014 – 2025 годы»</w:t>
      </w: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07001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Сосновоборского городского округа от 13.03.2019 № 546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области», на основании решения Совета депутатов от </w:t>
      </w:r>
      <w:r>
        <w:rPr>
          <w:sz w:val="24"/>
          <w:szCs w:val="24"/>
        </w:rPr>
        <w:t>21.12.2022г. №143</w:t>
      </w:r>
      <w:r w:rsidRPr="00B07001">
        <w:rPr>
          <w:sz w:val="24"/>
          <w:szCs w:val="24"/>
        </w:rPr>
        <w:t xml:space="preserve"> «О внесении изменений в решение Совета депутатов </w:t>
      </w:r>
      <w:r w:rsidRPr="00B07001">
        <w:rPr>
          <w:bCs/>
          <w:sz w:val="24"/>
          <w:szCs w:val="24"/>
        </w:rPr>
        <w:t>от 13.12.2021г. №184</w:t>
      </w:r>
      <w:proofErr w:type="gramEnd"/>
      <w:r w:rsidRPr="00B07001">
        <w:rPr>
          <w:bCs/>
          <w:sz w:val="24"/>
          <w:szCs w:val="24"/>
        </w:rPr>
        <w:t xml:space="preserve"> «О бюджете Сосновоборского городского округа на 2022 год и на плановый период 2023 и 2024 годов»</w:t>
      </w:r>
      <w:r w:rsidRPr="00B07001"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B07001">
        <w:rPr>
          <w:b/>
          <w:sz w:val="24"/>
          <w:szCs w:val="24"/>
        </w:rPr>
        <w:t>п</w:t>
      </w:r>
      <w:proofErr w:type="gramEnd"/>
      <w:r w:rsidRPr="00B07001">
        <w:rPr>
          <w:b/>
          <w:sz w:val="24"/>
          <w:szCs w:val="24"/>
        </w:rPr>
        <w:t xml:space="preserve"> о с т а н о в л я е т:</w:t>
      </w:r>
    </w:p>
    <w:p w:rsidR="00D27544" w:rsidRPr="00B07001" w:rsidRDefault="00D27544" w:rsidP="00D2754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544" w:rsidRPr="00B07001" w:rsidRDefault="00D27544" w:rsidP="00D275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7001">
        <w:rPr>
          <w:sz w:val="24"/>
          <w:szCs w:val="24"/>
        </w:rPr>
        <w:t xml:space="preserve">1. Утвердить прилагаемые изменения, которые вносятся в муниципальную программу «Медико-социальная поддержка отдельных категорий граждан </w:t>
      </w:r>
      <w:proofErr w:type="gramStart"/>
      <w:r w:rsidRPr="00B07001">
        <w:rPr>
          <w:sz w:val="24"/>
          <w:szCs w:val="24"/>
        </w:rPr>
        <w:t>в</w:t>
      </w:r>
      <w:proofErr w:type="gramEnd"/>
      <w:r w:rsidRPr="00B07001">
        <w:rPr>
          <w:sz w:val="24"/>
          <w:szCs w:val="24"/>
        </w:rPr>
        <w:t xml:space="preserve"> </w:t>
      </w:r>
      <w:proofErr w:type="gramStart"/>
      <w:r w:rsidRPr="00B07001">
        <w:rPr>
          <w:sz w:val="24"/>
          <w:szCs w:val="24"/>
        </w:rPr>
        <w:t xml:space="preserve">Сосновоборском городском округе на 2014-2025 годы», утвержденную постановлением администрации Сосновоборского городского округа от 16.10.2013 № 2597 «Об утверждении муниципальной программы «Медико-социальная поддержка отдельных категорий граждан в Сосновоборском городском округе на 2014-2016 годы» (название муниципальной программы в редакции постановления администрации Сосновоборского городского округа от 31.08.2018 № 2009, с изменениями от </w:t>
      </w:r>
      <w:r>
        <w:rPr>
          <w:sz w:val="24"/>
          <w:szCs w:val="24"/>
        </w:rPr>
        <w:t>09.12</w:t>
      </w:r>
      <w:r w:rsidRPr="00B07001">
        <w:rPr>
          <w:sz w:val="24"/>
          <w:szCs w:val="24"/>
        </w:rPr>
        <w:t xml:space="preserve">.2022 № </w:t>
      </w:r>
      <w:r>
        <w:rPr>
          <w:sz w:val="24"/>
          <w:szCs w:val="24"/>
        </w:rPr>
        <w:t>2957</w:t>
      </w:r>
      <w:r w:rsidRPr="00B07001">
        <w:rPr>
          <w:sz w:val="24"/>
          <w:szCs w:val="24"/>
        </w:rPr>
        <w:t>).</w:t>
      </w:r>
      <w:proofErr w:type="gramEnd"/>
    </w:p>
    <w:p w:rsidR="00D27544" w:rsidRPr="00B07001" w:rsidRDefault="00D27544" w:rsidP="00D275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7001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27544" w:rsidRPr="00B07001" w:rsidRDefault="00D27544" w:rsidP="00D2754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001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B07001">
        <w:rPr>
          <w:sz w:val="24"/>
          <w:szCs w:val="24"/>
        </w:rPr>
        <w:t>разместить</w:t>
      </w:r>
      <w:proofErr w:type="gramEnd"/>
      <w:r w:rsidRPr="00B0700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27544" w:rsidRPr="00B07001" w:rsidRDefault="00D27544" w:rsidP="00D27544">
      <w:pPr>
        <w:tabs>
          <w:tab w:val="left" w:pos="1134"/>
        </w:tabs>
        <w:ind w:right="-99" w:firstLine="709"/>
        <w:jc w:val="both"/>
        <w:rPr>
          <w:sz w:val="24"/>
          <w:szCs w:val="24"/>
        </w:rPr>
      </w:pPr>
      <w:r w:rsidRPr="00B07001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27544" w:rsidRPr="00B07001" w:rsidRDefault="00D27544" w:rsidP="00D275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7001">
        <w:rPr>
          <w:sz w:val="24"/>
          <w:szCs w:val="24"/>
        </w:rPr>
        <w:t xml:space="preserve">5. </w:t>
      </w:r>
      <w:proofErr w:type="gramStart"/>
      <w:r w:rsidRPr="00B07001">
        <w:rPr>
          <w:sz w:val="24"/>
          <w:szCs w:val="24"/>
        </w:rPr>
        <w:t>Контроль за</w:t>
      </w:r>
      <w:proofErr w:type="gramEnd"/>
      <w:r w:rsidRPr="00B07001">
        <w:rPr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D27544" w:rsidRPr="00B07001" w:rsidRDefault="00D27544" w:rsidP="00D2754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07001">
        <w:rPr>
          <w:sz w:val="24"/>
          <w:szCs w:val="24"/>
        </w:rPr>
        <w:t>Глава Сосновоборского городского округа</w:t>
      </w:r>
      <w:r w:rsidRPr="00B07001">
        <w:rPr>
          <w:sz w:val="24"/>
          <w:szCs w:val="24"/>
        </w:rPr>
        <w:tab/>
      </w:r>
      <w:r w:rsidRPr="00B07001">
        <w:rPr>
          <w:sz w:val="24"/>
          <w:szCs w:val="24"/>
        </w:rPr>
        <w:tab/>
      </w:r>
      <w:r w:rsidRPr="00B07001">
        <w:rPr>
          <w:sz w:val="24"/>
          <w:szCs w:val="24"/>
        </w:rPr>
        <w:tab/>
      </w:r>
      <w:r w:rsidRPr="00B07001">
        <w:rPr>
          <w:sz w:val="24"/>
          <w:szCs w:val="24"/>
        </w:rPr>
        <w:tab/>
        <w:t xml:space="preserve">            М.В. Воронков</w:t>
      </w: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2"/>
          <w:szCs w:val="12"/>
        </w:rPr>
      </w:pPr>
    </w:p>
    <w:p w:rsidR="00D27544" w:rsidRPr="00B07001" w:rsidRDefault="00D27544" w:rsidP="00D2754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4"/>
          <w:szCs w:val="24"/>
        </w:rPr>
        <w:sectPr w:rsidR="00D27544" w:rsidRPr="00B07001" w:rsidSect="009402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lastRenderedPageBreak/>
        <w:t>УТВЕРЖДЕНЫ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 постановлением администрации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Сосновоборского городского округа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от </w:t>
      </w:r>
      <w:r>
        <w:rPr>
          <w:sz w:val="24"/>
          <w:szCs w:val="24"/>
        </w:rPr>
        <w:t>31/01/2023 № 247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(Приложение)</w:t>
      </w: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Изменения, </w:t>
      </w: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которые вносятся  в муниципальную программу «Медико-социальная поддержка отдельных категорий граждан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в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Сосновоборском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городском округе на 2014-2025 годы»</w:t>
      </w: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27544" w:rsidRPr="00B07001" w:rsidRDefault="00D27544" w:rsidP="00D27544">
      <w:pPr>
        <w:pStyle w:val="ab"/>
        <w:spacing w:after="0" w:line="240" w:lineRule="auto"/>
        <w:ind w:left="0" w:firstLine="708"/>
        <w:rPr>
          <w:szCs w:val="24"/>
        </w:rPr>
      </w:pPr>
      <w:r w:rsidRPr="00B07001">
        <w:rPr>
          <w:szCs w:val="24"/>
        </w:rPr>
        <w:t xml:space="preserve">1. Приложение №11 к муниципальной программе «Медико-социальная поддержка отдельных категорий граждан </w:t>
      </w:r>
      <w:proofErr w:type="gramStart"/>
      <w:r w:rsidRPr="00B07001">
        <w:rPr>
          <w:szCs w:val="24"/>
        </w:rPr>
        <w:t>в</w:t>
      </w:r>
      <w:proofErr w:type="gramEnd"/>
      <w:r w:rsidRPr="00B07001">
        <w:rPr>
          <w:szCs w:val="24"/>
        </w:rPr>
        <w:t xml:space="preserve"> </w:t>
      </w:r>
      <w:proofErr w:type="gramStart"/>
      <w:r w:rsidRPr="00B07001">
        <w:rPr>
          <w:szCs w:val="24"/>
        </w:rPr>
        <w:t>Сосновоборском</w:t>
      </w:r>
      <w:proofErr w:type="gramEnd"/>
      <w:r w:rsidRPr="00B07001">
        <w:rPr>
          <w:szCs w:val="24"/>
        </w:rPr>
        <w:t xml:space="preserve"> городском округе на 2014-2025 годы» изложить в следующей редакции:</w:t>
      </w:r>
    </w:p>
    <w:p w:rsidR="00D27544" w:rsidRPr="00B07001" w:rsidRDefault="00D27544" w:rsidP="00D27544"/>
    <w:p w:rsidR="00D27544" w:rsidRPr="00B07001" w:rsidRDefault="00D27544" w:rsidP="00D27544">
      <w:pPr>
        <w:jc w:val="right"/>
        <w:rPr>
          <w:sz w:val="24"/>
          <w:szCs w:val="24"/>
        </w:rPr>
      </w:pPr>
      <w:r w:rsidRPr="00B07001">
        <w:rPr>
          <w:sz w:val="24"/>
          <w:szCs w:val="24"/>
        </w:rPr>
        <w:t>Приложение 11</w:t>
      </w: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27544" w:rsidRPr="00B07001" w:rsidRDefault="00D27544" w:rsidP="00D27544">
      <w:pPr>
        <w:jc w:val="both"/>
        <w:rPr>
          <w:sz w:val="24"/>
        </w:rPr>
      </w:pP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7001">
        <w:rPr>
          <w:b/>
          <w:sz w:val="24"/>
          <w:szCs w:val="24"/>
        </w:rPr>
        <w:t>ПЛАН РЕАЛИЗАЦИИ на 2022 год</w:t>
      </w: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700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Сосновоборском</w:t>
      </w:r>
      <w:proofErr w:type="gramEnd"/>
      <w:r w:rsidRPr="00B07001">
        <w:rPr>
          <w:b/>
          <w:i/>
          <w:sz w:val="24"/>
          <w:szCs w:val="24"/>
        </w:rPr>
        <w:t xml:space="preserve"> городском округе на 2014-2025 годы</w:t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D27544" w:rsidRPr="00B07001" w:rsidTr="00D40BA1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gramStart"/>
            <w:r w:rsidRPr="00B07001">
              <w:t>п</w:t>
            </w:r>
            <w:proofErr w:type="gramEnd"/>
            <w:r w:rsidRPr="00B07001">
              <w:t>/п</w:t>
            </w:r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2022 год, тыс. руб.</w:t>
            </w:r>
          </w:p>
        </w:tc>
      </w:tr>
      <w:tr w:rsidR="00D27544" w:rsidRPr="00B07001" w:rsidTr="00D40BA1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К-во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D27544" w:rsidRPr="00B07001" w:rsidTr="00D40BA1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924,199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14877,13579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15801,33479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Подпрограмма 1 Защита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10077,360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10077,36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 xml:space="preserve">Основное мероприятие 1    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3718,127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3718,127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Раздел 1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07001">
              <w:rPr>
                <w:b/>
                <w:bCs/>
                <w:i/>
              </w:rPr>
              <w:lastRenderedPageBreak/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2578,44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2578,44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228,84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228,84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91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173,6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173,6</w:t>
            </w:r>
          </w:p>
        </w:tc>
      </w:tr>
      <w:tr w:rsidR="00D27544" w:rsidRPr="00B07001" w:rsidTr="00D40BA1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 xml:space="preserve">1.1.1.3   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44,0</w:t>
            </w:r>
          </w:p>
        </w:tc>
      </w:tr>
      <w:tr w:rsidR="00D27544" w:rsidRPr="00B07001" w:rsidTr="00D40BA1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 xml:space="preserve">1.1.1.5   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Койко</w:t>
            </w:r>
            <w:proofErr w:type="spellEnd"/>
            <w:r w:rsidRPr="00B07001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1900,0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 xml:space="preserve">Ежегодная денежная выплата отдельным категориям граждан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Победы в Великой Отечественной войне 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10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232,0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232,0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D27544" w:rsidRPr="00B07001" w:rsidRDefault="00D27544" w:rsidP="00D40BA1">
            <w:pPr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1139,687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1139,687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 xml:space="preserve">Чествование ветеранов на мемориалах </w:t>
            </w:r>
            <w:proofErr w:type="spellStart"/>
            <w:r w:rsidRPr="00B07001">
              <w:t>д</w:t>
            </w:r>
            <w:proofErr w:type="gramStart"/>
            <w:r w:rsidRPr="00B07001">
              <w:t>.У</w:t>
            </w:r>
            <w:proofErr w:type="gramEnd"/>
            <w:r w:rsidRPr="00B07001">
              <w:t>стье</w:t>
            </w:r>
            <w:proofErr w:type="spellEnd"/>
            <w:r w:rsidRPr="00B07001">
              <w:t>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112,27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112,27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66,0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372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588,0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46,4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 xml:space="preserve">Организация мероприятий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</w:t>
            </w:r>
            <w:proofErr w:type="spellStart"/>
            <w:r w:rsidRPr="00B07001">
              <w:t>Ораниенбаумского</w:t>
            </w:r>
            <w:proofErr w:type="spellEnd"/>
            <w:r w:rsidRPr="00B07001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43,73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43,73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227,12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227,12</w:t>
            </w:r>
          </w:p>
        </w:tc>
      </w:tr>
      <w:tr w:rsidR="00D27544" w:rsidRPr="00B07001" w:rsidTr="00D40BA1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56,167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56,167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>Основное мероприятие 2</w:t>
            </w:r>
          </w:p>
          <w:p w:rsidR="00D27544" w:rsidRPr="00B07001" w:rsidRDefault="00D27544" w:rsidP="00D40BA1">
            <w:pPr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451,433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451,433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</w:tr>
      <w:tr w:rsidR="00D27544" w:rsidRPr="00B07001" w:rsidTr="00D40BA1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Раздел 1</w:t>
            </w:r>
          </w:p>
          <w:p w:rsidR="00D27544" w:rsidRPr="00B07001" w:rsidRDefault="00D27544" w:rsidP="00D40BA1">
            <w:pPr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417,6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417,6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209,2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209,2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26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54,0</w:t>
            </w:r>
          </w:p>
        </w:tc>
      </w:tr>
      <w:tr w:rsidR="00D27544" w:rsidRPr="00B07001" w:rsidTr="00D40BA1">
        <w:trPr>
          <w:trHeight w:val="365"/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1.2.1.3</w:t>
            </w:r>
          </w:p>
          <w:p w:rsidR="00D27544" w:rsidRPr="00B07001" w:rsidRDefault="00D27544" w:rsidP="00D40BA1">
            <w:pPr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16,0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16,0</w:t>
            </w:r>
          </w:p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58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138,4</w:t>
            </w:r>
          </w:p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138,4</w:t>
            </w:r>
          </w:p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D27544" w:rsidRPr="00B07001" w:rsidRDefault="00D27544" w:rsidP="00D40BA1">
            <w:pPr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33,833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33,833</w:t>
            </w:r>
          </w:p>
        </w:tc>
      </w:tr>
      <w:tr w:rsidR="00D27544" w:rsidRPr="00B07001" w:rsidTr="00D40BA1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33,833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33,833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>Основное мероприятие 3</w:t>
            </w:r>
          </w:p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 xml:space="preserve">Социальная поддержка семей и детей, находящихся </w:t>
            </w:r>
          </w:p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5907,8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5907,8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Раздел 1</w:t>
            </w:r>
          </w:p>
          <w:p w:rsidR="00D27544" w:rsidRPr="00B07001" w:rsidRDefault="00D27544" w:rsidP="00D40BA1">
            <w:pPr>
              <w:jc w:val="both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5145,8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5145,8</w:t>
            </w:r>
          </w:p>
        </w:tc>
      </w:tr>
      <w:tr w:rsidR="00D27544" w:rsidRPr="00B07001" w:rsidTr="00D40BA1">
        <w:trPr>
          <w:trHeight w:val="680"/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r w:rsidRPr="00B07001">
              <w:t>1.3.1.1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84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315,0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341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4164,4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4164,4</w:t>
            </w:r>
          </w:p>
        </w:tc>
      </w:tr>
      <w:tr w:rsidR="00D27544" w:rsidRPr="00B07001" w:rsidTr="00D40BA1">
        <w:trPr>
          <w:trHeight w:val="234"/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12,0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12,0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650,4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650,4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D27544" w:rsidRPr="00B07001" w:rsidRDefault="00D27544" w:rsidP="00D40BA1">
            <w:pPr>
              <w:jc w:val="both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762,0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762,0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both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1.3.2.1.1.1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r w:rsidRPr="00B07001">
              <w:t>ОРКиТ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120,0</w:t>
            </w:r>
          </w:p>
        </w:tc>
      </w:tr>
      <w:tr w:rsidR="00D27544" w:rsidRPr="00B07001" w:rsidTr="00D40BA1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47,31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47,31</w:t>
            </w:r>
          </w:p>
        </w:tc>
      </w:tr>
      <w:tr w:rsidR="00D27544" w:rsidRPr="00B07001" w:rsidTr="00D40BA1">
        <w:trPr>
          <w:trHeight w:val="316"/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24,0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Новогодние мероприятия</w:t>
            </w:r>
          </w:p>
          <w:p w:rsidR="00D27544" w:rsidRPr="00B07001" w:rsidRDefault="00D27544" w:rsidP="00D40BA1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261,120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261,120</w:t>
            </w:r>
          </w:p>
        </w:tc>
      </w:tr>
      <w:tr w:rsidR="00D27544" w:rsidRPr="00B07001" w:rsidTr="00D40BA1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320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64,0</w:t>
            </w:r>
          </w:p>
        </w:tc>
      </w:tr>
      <w:tr w:rsidR="00D27544" w:rsidRPr="00B07001" w:rsidTr="00D40BA1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Транспортные расходы</w:t>
            </w:r>
          </w:p>
          <w:p w:rsidR="00D27544" w:rsidRPr="00B07001" w:rsidRDefault="00D27544" w:rsidP="00D40BA1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245,57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245,57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B07001">
              <w:rPr>
                <w:b/>
              </w:rPr>
              <w:t>в</w:t>
            </w:r>
            <w:proofErr w:type="gramEnd"/>
            <w:r w:rsidRPr="00B07001">
              <w:rPr>
                <w:b/>
              </w:rPr>
              <w:t xml:space="preserve"> </w:t>
            </w:r>
            <w:proofErr w:type="gramStart"/>
            <w:r w:rsidRPr="00B07001">
              <w:rPr>
                <w:b/>
              </w:rPr>
              <w:t>Сосновоборском</w:t>
            </w:r>
            <w:proofErr w:type="gramEnd"/>
            <w:r w:rsidRPr="00B07001">
              <w:rPr>
                <w:b/>
              </w:rPr>
              <w:t xml:space="preserve"> городском округе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  <w:bCs/>
              </w:rPr>
              <w:t>653,0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653,0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7001">
              <w:t>Основное мероприятие 1</w:t>
            </w: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</w:pPr>
            <w:r w:rsidRPr="00B07001">
              <w:t xml:space="preserve">Индивидуальное консультирование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</w:pPr>
            <w:r w:rsidRPr="00B07001">
              <w:t xml:space="preserve">для несовершеннолетних 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120,0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</w:pPr>
            <w:r w:rsidRPr="00B07001">
              <w:t xml:space="preserve">для родителей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80,0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spacing w:before="30" w:after="30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288,0</w:t>
            </w:r>
          </w:p>
        </w:tc>
      </w:tr>
      <w:tr w:rsidR="00D27544" w:rsidRPr="00B07001" w:rsidTr="00D40BA1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 xml:space="preserve">Основное мероприятие 2 </w:t>
            </w: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  <w:rPr>
                <w:b/>
                <w:bCs/>
              </w:rPr>
            </w:pPr>
            <w:r w:rsidRPr="00B07001">
              <w:rPr>
                <w:b/>
                <w:bCs/>
              </w:rPr>
              <w:t xml:space="preserve">Подпрограмма 3 Формирование доступной среды жизнедеятельности для инвалидов и других маломобильных групп населения 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768,8625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768,8625</w:t>
            </w:r>
          </w:p>
        </w:tc>
      </w:tr>
      <w:tr w:rsidR="00D27544" w:rsidRPr="00B07001" w:rsidTr="00D40BA1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СМБУК «ЦРЛ «Гармония»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332,3525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332,3525</w:t>
            </w:r>
          </w:p>
        </w:tc>
      </w:tr>
      <w:tr w:rsidR="00D27544" w:rsidRPr="00B07001" w:rsidTr="00D40BA1">
        <w:trPr>
          <w:trHeight w:val="92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МАУ «ГТЦ»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226,5</w:t>
            </w:r>
          </w:p>
        </w:tc>
      </w:tr>
      <w:tr w:rsidR="00D27544" w:rsidRPr="00B07001" w:rsidTr="00D40BA1">
        <w:trPr>
          <w:trHeight w:val="92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МБУ «СГПБ»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17,440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17,440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/>
                <w:bCs/>
              </w:rPr>
            </w:pPr>
            <w:r w:rsidRPr="00B07001">
              <w:t>отдел ОСЧ и ОДЮЛ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29,570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</w:pPr>
            <w:r w:rsidRPr="00B07001">
              <w:t>СКК «Малахит»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ОФКиС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163,0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 xml:space="preserve">Подпрограмма 4 «Здравоохранение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2125,0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 Основное мероприятие 1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 Медицинские услуги, направленные на профилактику социально-значимых заболеваний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Школа здоровья по управлению сахарным диабетом, в </w:t>
            </w:r>
            <w:proofErr w:type="spellStart"/>
            <w:r w:rsidRPr="00B07001">
              <w:rPr>
                <w:bCs/>
              </w:rPr>
              <w:t>т.ч</w:t>
            </w:r>
            <w:proofErr w:type="spellEnd"/>
            <w:r w:rsidRPr="00B07001">
              <w:rPr>
                <w:bCs/>
              </w:rPr>
              <w:t xml:space="preserve">. 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gramStart"/>
            <w:r w:rsidRPr="00B07001">
              <w:rPr>
                <w:bCs/>
              </w:rPr>
              <w:t>тест-полоски</w:t>
            </w:r>
            <w:proofErr w:type="gramEnd"/>
            <w:r w:rsidRPr="00B07001">
              <w:rPr>
                <w:bCs/>
              </w:rPr>
              <w:t xml:space="preserve">) для детей, страдающих сахарным диабетом,    посещающих школу сахарного диабета и  получающих интенсифицированную инсулинотерапию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Основное мероприятие 2 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</w:p>
          <w:p w:rsidR="00D27544" w:rsidRPr="00B07001" w:rsidRDefault="00D27544" w:rsidP="00D40BA1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Основное мероприятие 3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 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rPr>
                <w:bCs/>
              </w:rPr>
            </w:pPr>
            <w:proofErr w:type="gramStart"/>
            <w:r w:rsidRPr="00B07001">
              <w:rPr>
                <w:bCs/>
              </w:rPr>
              <w:t xml:space="preserve">Медицинские услуги по защите и укреплению </w:t>
            </w:r>
            <w:r w:rsidRPr="00B07001">
              <w:rPr>
                <w:bCs/>
              </w:rPr>
              <w:lastRenderedPageBreak/>
              <w:t>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5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924,199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t>1252,91329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2177,11229</w:t>
            </w:r>
          </w:p>
        </w:tc>
      </w:tr>
      <w:tr w:rsidR="00D27544" w:rsidRPr="00B07001" w:rsidTr="00D40BA1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 xml:space="preserve">Основное мероприятие 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Финансовая поддержка некоммерческим организациям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924,199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t>1252,91329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spacing w:after="16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2177,11229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Трансферт на оказание финансовой помощи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924,199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1252,91329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2177,11229</w:t>
            </w:r>
          </w:p>
        </w:tc>
      </w:tr>
    </w:tbl>
    <w:p w:rsidR="00D27544" w:rsidRPr="00B07001" w:rsidRDefault="00D27544" w:rsidP="00D27544">
      <w:pPr>
        <w:jc w:val="both"/>
        <w:rPr>
          <w:sz w:val="24"/>
        </w:rPr>
      </w:pPr>
    </w:p>
    <w:p w:rsidR="00D27544" w:rsidRPr="00B07001" w:rsidRDefault="00D27544" w:rsidP="00D27544"/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</w:pPr>
    </w:p>
    <w:p w:rsidR="00D27544" w:rsidRPr="00B07001" w:rsidRDefault="00D27544" w:rsidP="00D27544"/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986B56" w:rsidRDefault="00986B56"/>
    <w:sectPr w:rsidR="00986B56" w:rsidSect="00864EEB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AD" w:rsidRDefault="004F56AD" w:rsidP="00D27544">
      <w:r>
        <w:separator/>
      </w:r>
    </w:p>
  </w:endnote>
  <w:endnote w:type="continuationSeparator" w:id="0">
    <w:p w:rsidR="004F56AD" w:rsidRDefault="004F56AD" w:rsidP="00D2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B" w:rsidRDefault="004F56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B" w:rsidRDefault="004F56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B" w:rsidRDefault="004F5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AD" w:rsidRDefault="004F56AD" w:rsidP="00D27544">
      <w:r>
        <w:separator/>
      </w:r>
    </w:p>
  </w:footnote>
  <w:footnote w:type="continuationSeparator" w:id="0">
    <w:p w:rsidR="004F56AD" w:rsidRDefault="004F56AD" w:rsidP="00D2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B" w:rsidRDefault="004F5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B" w:rsidRDefault="004F56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B" w:rsidRDefault="004F56A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F5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0A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0447D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DD5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CAF"/>
    <w:multiLevelType w:val="hybridMultilevel"/>
    <w:tmpl w:val="A3C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074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34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83A28"/>
    <w:multiLevelType w:val="hybridMultilevel"/>
    <w:tmpl w:val="ED66EA52"/>
    <w:lvl w:ilvl="0" w:tplc="537AEA8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3742"/>
    <w:multiLevelType w:val="hybridMultilevel"/>
    <w:tmpl w:val="3AC29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6D60"/>
    <w:multiLevelType w:val="hybridMultilevel"/>
    <w:tmpl w:val="9FFE624A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71C03"/>
    <w:multiLevelType w:val="hybridMultilevel"/>
    <w:tmpl w:val="1512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5086"/>
    <w:multiLevelType w:val="hybridMultilevel"/>
    <w:tmpl w:val="AF04B332"/>
    <w:lvl w:ilvl="0" w:tplc="CE62280C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15364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891FB4"/>
    <w:multiLevelType w:val="hybridMultilevel"/>
    <w:tmpl w:val="D944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973C9"/>
    <w:multiLevelType w:val="multilevel"/>
    <w:tmpl w:val="04AA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1E90FFA"/>
    <w:multiLevelType w:val="hybridMultilevel"/>
    <w:tmpl w:val="62D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7355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1F0FD2"/>
    <w:multiLevelType w:val="hybridMultilevel"/>
    <w:tmpl w:val="46EC3C26"/>
    <w:lvl w:ilvl="0" w:tplc="9FCA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7366A48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1">
    <w:nsid w:val="29B3692B"/>
    <w:multiLevelType w:val="hybridMultilevel"/>
    <w:tmpl w:val="67C2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75D32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3AC147C"/>
    <w:multiLevelType w:val="hybridMultilevel"/>
    <w:tmpl w:val="6CF697EE"/>
    <w:lvl w:ilvl="0" w:tplc="254C2C00">
      <w:start w:val="201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8">
    <w:nsid w:val="3CF24C52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7F671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63ABF"/>
    <w:multiLevelType w:val="hybridMultilevel"/>
    <w:tmpl w:val="652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60331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577ED"/>
    <w:multiLevelType w:val="hybridMultilevel"/>
    <w:tmpl w:val="3D985EBA"/>
    <w:lvl w:ilvl="0" w:tplc="6AA6D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3553C"/>
    <w:multiLevelType w:val="hybridMultilevel"/>
    <w:tmpl w:val="569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F53E2"/>
    <w:multiLevelType w:val="hybridMultilevel"/>
    <w:tmpl w:val="96D6163C"/>
    <w:lvl w:ilvl="0" w:tplc="C216555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30A54BD"/>
    <w:multiLevelType w:val="hybridMultilevel"/>
    <w:tmpl w:val="564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D57B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4F7DEA"/>
    <w:multiLevelType w:val="hybridMultilevel"/>
    <w:tmpl w:val="7DBAF0E0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8F2904"/>
    <w:multiLevelType w:val="hybridMultilevel"/>
    <w:tmpl w:val="810C40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D0E1F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1092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93364C4"/>
    <w:multiLevelType w:val="hybridMultilevel"/>
    <w:tmpl w:val="BD96C46C"/>
    <w:lvl w:ilvl="0" w:tplc="03FAE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33"/>
  </w:num>
  <w:num w:numId="5">
    <w:abstractNumId w:val="12"/>
  </w:num>
  <w:num w:numId="6">
    <w:abstractNumId w:val="23"/>
  </w:num>
  <w:num w:numId="7">
    <w:abstractNumId w:val="27"/>
  </w:num>
  <w:num w:numId="8">
    <w:abstractNumId w:val="37"/>
  </w:num>
  <w:num w:numId="9">
    <w:abstractNumId w:val="45"/>
  </w:num>
  <w:num w:numId="10">
    <w:abstractNumId w:val="15"/>
  </w:num>
  <w:num w:numId="11">
    <w:abstractNumId w:val="38"/>
  </w:num>
  <w:num w:numId="12">
    <w:abstractNumId w:val="4"/>
  </w:num>
  <w:num w:numId="13">
    <w:abstractNumId w:val="35"/>
  </w:num>
  <w:num w:numId="14">
    <w:abstractNumId w:val="11"/>
  </w:num>
  <w:num w:numId="15">
    <w:abstractNumId w:val="32"/>
  </w:num>
  <w:num w:numId="16">
    <w:abstractNumId w:val="42"/>
  </w:num>
  <w:num w:numId="17">
    <w:abstractNumId w:val="40"/>
  </w:num>
  <w:num w:numId="18">
    <w:abstractNumId w:val="24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6"/>
  </w:num>
  <w:num w:numId="24">
    <w:abstractNumId w:val="5"/>
  </w:num>
  <w:num w:numId="25">
    <w:abstractNumId w:val="22"/>
  </w:num>
  <w:num w:numId="26">
    <w:abstractNumId w:val="1"/>
  </w:num>
  <w:num w:numId="27">
    <w:abstractNumId w:val="2"/>
  </w:num>
  <w:num w:numId="28">
    <w:abstractNumId w:val="44"/>
  </w:num>
  <w:num w:numId="29">
    <w:abstractNumId w:val="31"/>
  </w:num>
  <w:num w:numId="30">
    <w:abstractNumId w:val="3"/>
  </w:num>
  <w:num w:numId="31">
    <w:abstractNumId w:val="43"/>
  </w:num>
  <w:num w:numId="32">
    <w:abstractNumId w:val="41"/>
  </w:num>
  <w:num w:numId="33">
    <w:abstractNumId w:val="25"/>
  </w:num>
  <w:num w:numId="34">
    <w:abstractNumId w:val="0"/>
  </w:num>
  <w:num w:numId="35">
    <w:abstractNumId w:val="9"/>
  </w:num>
  <w:num w:numId="36">
    <w:abstractNumId w:val="28"/>
  </w:num>
  <w:num w:numId="37">
    <w:abstractNumId w:val="18"/>
  </w:num>
  <w:num w:numId="38">
    <w:abstractNumId w:val="8"/>
  </w:num>
  <w:num w:numId="39">
    <w:abstractNumId w:val="29"/>
  </w:num>
  <w:num w:numId="40">
    <w:abstractNumId w:val="3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7"/>
  </w:num>
  <w:num w:numId="47">
    <w:abstractNumId w:val="21"/>
  </w:num>
  <w:num w:numId="48">
    <w:abstractNumId w:val="3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6065cb-223b-4b35-9657-7ef435560181"/>
  </w:docVars>
  <w:rsids>
    <w:rsidRoot w:val="00D27544"/>
    <w:rsid w:val="000230E3"/>
    <w:rsid w:val="00032969"/>
    <w:rsid w:val="00046AA9"/>
    <w:rsid w:val="00057AB4"/>
    <w:rsid w:val="00061FBC"/>
    <w:rsid w:val="00086B5D"/>
    <w:rsid w:val="000946DF"/>
    <w:rsid w:val="000B0B5B"/>
    <w:rsid w:val="000C7C1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4F56AD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025E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42DB"/>
    <w:rsid w:val="00D257E2"/>
    <w:rsid w:val="00D27544"/>
    <w:rsid w:val="00D340BD"/>
    <w:rsid w:val="00D6009D"/>
    <w:rsid w:val="00D71842"/>
    <w:rsid w:val="00DA5A23"/>
    <w:rsid w:val="00DA72CC"/>
    <w:rsid w:val="00DB6983"/>
    <w:rsid w:val="00DC0D99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75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2754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2754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54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7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5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754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75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27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2754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27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27544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D275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rsid w:val="00D2754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27544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D2754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D2754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D2754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D27544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D27544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D275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D27544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27544"/>
  </w:style>
  <w:style w:type="character" w:customStyle="1" w:styleId="comment">
    <w:name w:val="comment"/>
    <w:basedOn w:val="a0"/>
    <w:rsid w:val="00D27544"/>
  </w:style>
  <w:style w:type="character" w:customStyle="1" w:styleId="af4">
    <w:name w:val="Текст Знак"/>
    <w:basedOn w:val="a0"/>
    <w:link w:val="af5"/>
    <w:uiPriority w:val="99"/>
    <w:semiHidden/>
    <w:rsid w:val="00D27544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semiHidden/>
    <w:unhideWhenUsed/>
    <w:rsid w:val="00D2754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D2754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D2754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D27544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27544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75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2754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2754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54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7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5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754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75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27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2754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27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27544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D275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rsid w:val="00D2754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27544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D2754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D2754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D2754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D27544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D27544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D275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D27544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27544"/>
  </w:style>
  <w:style w:type="character" w:customStyle="1" w:styleId="comment">
    <w:name w:val="comment"/>
    <w:basedOn w:val="a0"/>
    <w:rsid w:val="00D27544"/>
  </w:style>
  <w:style w:type="character" w:customStyle="1" w:styleId="af4">
    <w:name w:val="Текст Знак"/>
    <w:basedOn w:val="a0"/>
    <w:link w:val="af5"/>
    <w:uiPriority w:val="99"/>
    <w:semiHidden/>
    <w:rsid w:val="00D27544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semiHidden/>
    <w:unhideWhenUsed/>
    <w:rsid w:val="00D2754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D2754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D2754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D27544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27544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2023-02-01T13:02:00Z</dcterms:created>
  <dcterms:modified xsi:type="dcterms:W3CDTF">2023-02-01T13:08:00Z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e56065cb-223b-4b35-9657-7ef435560181</vt:lpwstr>
  </property>
</Properties>
</file>